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69" w:rsidRDefault="00AB7869" w:rsidP="00AB7869">
      <w:pPr>
        <w:spacing w:line="266" w:lineRule="auto"/>
        <w:jc w:val="center"/>
        <w:rPr>
          <w:rFonts w:ascii="Garamond" w:hAnsi="Garamond" w:cs="Garamond"/>
          <w:b/>
          <w:spacing w:val="2"/>
          <w:sz w:val="30"/>
          <w:szCs w:val="30"/>
        </w:rPr>
      </w:pPr>
      <w:bookmarkStart w:id="0" w:name="_GoBack"/>
      <w:bookmarkEnd w:id="0"/>
      <w:r w:rsidRPr="00015DF8">
        <w:rPr>
          <w:rFonts w:ascii="Garamond" w:hAnsi="Garamond" w:cs="Garamond"/>
          <w:b/>
          <w:spacing w:val="4"/>
          <w:sz w:val="30"/>
          <w:szCs w:val="30"/>
        </w:rPr>
        <w:t xml:space="preserve">Annual Professional Performance Review Plan </w:t>
      </w:r>
      <w:proofErr w:type="gramStart"/>
      <w:r w:rsidRPr="00015DF8">
        <w:rPr>
          <w:rFonts w:ascii="Garamond" w:hAnsi="Garamond" w:cs="Garamond"/>
          <w:b/>
          <w:spacing w:val="4"/>
          <w:sz w:val="30"/>
          <w:szCs w:val="30"/>
        </w:rPr>
        <w:t>For</w:t>
      </w:r>
      <w:proofErr w:type="gramEnd"/>
      <w:r w:rsidR="00A07503">
        <w:rPr>
          <w:rFonts w:ascii="Garamond" w:hAnsi="Garamond" w:cs="Garamond"/>
          <w:b/>
          <w:spacing w:val="4"/>
          <w:sz w:val="30"/>
          <w:szCs w:val="30"/>
        </w:rPr>
        <w:t xml:space="preserve"> LCS</w:t>
      </w:r>
      <w:r w:rsidRPr="00015DF8">
        <w:rPr>
          <w:rFonts w:ascii="Garamond" w:hAnsi="Garamond" w:cs="Garamond"/>
          <w:b/>
          <w:spacing w:val="4"/>
          <w:sz w:val="30"/>
          <w:szCs w:val="30"/>
        </w:rPr>
        <w:br/>
      </w:r>
      <w:r w:rsidRPr="00015DF8">
        <w:rPr>
          <w:rFonts w:ascii="Garamond" w:hAnsi="Garamond" w:cs="Garamond"/>
          <w:b/>
          <w:spacing w:val="2"/>
          <w:sz w:val="30"/>
          <w:szCs w:val="30"/>
        </w:rPr>
        <w:t xml:space="preserve">Principals Covered </w:t>
      </w:r>
      <w:r w:rsidR="0081476C">
        <w:rPr>
          <w:rFonts w:ascii="Garamond" w:hAnsi="Garamond" w:cs="Garamond"/>
          <w:b/>
          <w:spacing w:val="2"/>
          <w:sz w:val="30"/>
          <w:szCs w:val="30"/>
        </w:rPr>
        <w:t>By 3012-d, Effective July 1, 2016</w:t>
      </w:r>
    </w:p>
    <w:p w:rsidR="00A07503" w:rsidRPr="00015DF8" w:rsidRDefault="00A07503" w:rsidP="00AB7869">
      <w:pPr>
        <w:spacing w:line="266" w:lineRule="auto"/>
        <w:jc w:val="center"/>
        <w:rPr>
          <w:rFonts w:ascii="Garamond" w:hAnsi="Garamond" w:cs="Garamond"/>
          <w:b/>
          <w:spacing w:val="2"/>
          <w:sz w:val="30"/>
          <w:szCs w:val="30"/>
        </w:rPr>
      </w:pPr>
    </w:p>
    <w:p w:rsidR="002C4301" w:rsidRPr="00A7420B" w:rsidRDefault="002C4301" w:rsidP="002C4301">
      <w:pPr>
        <w:tabs>
          <w:tab w:val="left" w:pos="9360"/>
          <w:tab w:val="left" w:pos="9540"/>
        </w:tabs>
      </w:pPr>
      <w:r w:rsidRPr="00A7420B">
        <w:t xml:space="preserve">The Board of Education of the LaFargeville Central School District (the “District”), acting in public session, hereby adopts this Annual Professional Performance Plan (the “APPR Plan”) for those </w:t>
      </w:r>
      <w:r w:rsidR="00A63904" w:rsidRPr="00A7420B">
        <w:t>principals</w:t>
      </w:r>
      <w:r w:rsidRPr="00A7420B">
        <w:t xml:space="preserve"> who will be covered by the annual professional performance review provisions of </w:t>
      </w:r>
      <w:r w:rsidR="0081476C">
        <w:t>3012-d.</w:t>
      </w:r>
    </w:p>
    <w:p w:rsidR="002C4301" w:rsidRPr="00A7420B" w:rsidRDefault="002C4301" w:rsidP="002C4301">
      <w:pPr>
        <w:tabs>
          <w:tab w:val="left" w:pos="9360"/>
          <w:tab w:val="left" w:pos="9540"/>
        </w:tabs>
      </w:pPr>
    </w:p>
    <w:p w:rsidR="002C4301" w:rsidRPr="00A7420B" w:rsidRDefault="002C4301" w:rsidP="002C4301">
      <w:r w:rsidRPr="00A7420B">
        <w:t xml:space="preserve">All aspects of the </w:t>
      </w:r>
      <w:r w:rsidR="00A07503" w:rsidRPr="00A7420B">
        <w:t>principal</w:t>
      </w:r>
      <w:r w:rsidRPr="00A7420B">
        <w:t xml:space="preserve"> evaluation process and appeal will be placed in the LaFargeville Central School Professional Development Plan.  The Annual Professional Performance Review (APPR) will become part of the PDP and reviewed on an annual basis.  The APPR will reflect the laws and commissioner’s regulations.</w:t>
      </w:r>
    </w:p>
    <w:p w:rsidR="002C4301" w:rsidRPr="00A7420B" w:rsidRDefault="002C4301" w:rsidP="002C4301"/>
    <w:p w:rsidR="002C4301" w:rsidRPr="00A7420B" w:rsidRDefault="002C4301" w:rsidP="002C4301">
      <w:r w:rsidRPr="00A7420B">
        <w:t xml:space="preserve">The provisions of this Plan and Memorandum of Agreement shall be in effect upon acceptance of the same, in its entirety, by the </w:t>
      </w:r>
      <w:r w:rsidR="00D85AC0" w:rsidRPr="00A7420B">
        <w:t>two (</w:t>
      </w:r>
      <w:r w:rsidRPr="00A7420B">
        <w:t>2</w:t>
      </w:r>
      <w:r w:rsidR="00D85AC0" w:rsidRPr="00A7420B">
        <w:t>)</w:t>
      </w:r>
      <w:r w:rsidRPr="00A7420B">
        <w:t xml:space="preserve"> principals and the Board</w:t>
      </w:r>
      <w:r w:rsidR="00E62C49" w:rsidRPr="00A7420B">
        <w:t xml:space="preserve"> of Education.  All</w:t>
      </w:r>
      <w:r w:rsidRPr="00A7420B">
        <w:t xml:space="preserve"> parties agree to modify their present agreement in accordance with a revised evaluation procedure; the primary components are outlined below.</w:t>
      </w:r>
    </w:p>
    <w:p w:rsidR="002C4301" w:rsidRPr="00A7420B" w:rsidRDefault="002C4301" w:rsidP="002C4301"/>
    <w:p w:rsidR="002C4301" w:rsidRPr="00A7420B" w:rsidRDefault="00E62C49" w:rsidP="002C4301">
      <w:r w:rsidRPr="00A7420B">
        <w:t>All</w:t>
      </w:r>
      <w:r w:rsidR="002C4301" w:rsidRPr="00A7420B">
        <w:t xml:space="preserve"> parties view this revised procedure as subject to ongoing review and possible adjustment upon mutual agreement to any further changes.  This document shall be subject to an annual review by the parties, if possible no later than August 1 of each year.  Such review may include negotiations upon request </w:t>
      </w:r>
      <w:r w:rsidR="006D4A4B" w:rsidRPr="00A7420B">
        <w:t xml:space="preserve">of </w:t>
      </w:r>
      <w:proofErr w:type="gramStart"/>
      <w:r w:rsidR="006D4A4B" w:rsidRPr="00A7420B">
        <w:t>either party and</w:t>
      </w:r>
      <w:proofErr w:type="gramEnd"/>
      <w:r w:rsidR="006D4A4B" w:rsidRPr="00A7420B">
        <w:t xml:space="preserve"> agreement of both.</w:t>
      </w:r>
    </w:p>
    <w:p w:rsidR="002C4301" w:rsidRPr="00A7420B" w:rsidRDefault="002C4301" w:rsidP="002C4301"/>
    <w:p w:rsidR="002C4301" w:rsidRPr="00A7420B" w:rsidRDefault="002C4301" w:rsidP="002C4301">
      <w:r w:rsidRPr="00A7420B">
        <w:t xml:space="preserve">This document along with the supporting rubric, administrative </w:t>
      </w:r>
      <w:r w:rsidR="006D4A4B" w:rsidRPr="00A7420B">
        <w:t>standards</w:t>
      </w:r>
      <w:r w:rsidRPr="00A7420B">
        <w:t xml:space="preserve"> and principal improvement plan will replace the current APPR.</w:t>
      </w:r>
    </w:p>
    <w:p w:rsidR="00AB7869" w:rsidRPr="00A7420B" w:rsidRDefault="00AB7869" w:rsidP="000A512C">
      <w:pPr>
        <w:pStyle w:val="ListParagraph"/>
        <w:numPr>
          <w:ilvl w:val="0"/>
          <w:numId w:val="18"/>
        </w:numPr>
        <w:tabs>
          <w:tab w:val="num" w:pos="576"/>
        </w:tabs>
        <w:spacing w:before="216"/>
        <w:rPr>
          <w:b/>
          <w:spacing w:val="4"/>
          <w:u w:val="single"/>
        </w:rPr>
      </w:pPr>
      <w:r w:rsidRPr="00A7420B">
        <w:rPr>
          <w:b/>
          <w:spacing w:val="4"/>
          <w:u w:val="single"/>
        </w:rPr>
        <w:t>Definition of Covered Principals</w:t>
      </w:r>
    </w:p>
    <w:p w:rsidR="00A07503" w:rsidRPr="00A7420B" w:rsidRDefault="00A07503" w:rsidP="00A07503">
      <w:pPr>
        <w:tabs>
          <w:tab w:val="num" w:pos="576"/>
        </w:tabs>
        <w:spacing w:before="216"/>
        <w:rPr>
          <w:b/>
          <w:spacing w:val="4"/>
          <w:u w:val="single"/>
        </w:rPr>
      </w:pPr>
    </w:p>
    <w:p w:rsidR="00E62C49" w:rsidRPr="00A7420B" w:rsidRDefault="00AB7869" w:rsidP="00E62C49">
      <w:pPr>
        <w:tabs>
          <w:tab w:val="left" w:pos="9360"/>
          <w:tab w:val="left" w:pos="9540"/>
        </w:tabs>
      </w:pPr>
      <w:r w:rsidRPr="00A7420B">
        <w:t>This APPR Plan will apply only to a principal of a re</w:t>
      </w:r>
      <w:r w:rsidR="009248AE" w:rsidRPr="00A7420B">
        <w:t xml:space="preserve">gistered public school building in charge of an instructional program of a school district or BOCES.   </w:t>
      </w:r>
      <w:proofErr w:type="gramStart"/>
      <w:r w:rsidR="009248AE" w:rsidRPr="00A7420B">
        <w:t>Part</w:t>
      </w:r>
      <w:r w:rsidR="009A13C1" w:rsidRPr="00A7420B">
        <w:t xml:space="preserve"> ~80-1.1 of the Commissioner’s regulations.</w:t>
      </w:r>
      <w:proofErr w:type="gramEnd"/>
      <w:r w:rsidR="00E62C49" w:rsidRPr="00A7420B">
        <w:rPr>
          <w:color w:val="0C0C0C"/>
          <w:w w:val="105"/>
        </w:rPr>
        <w:t xml:space="preserve"> </w:t>
      </w:r>
    </w:p>
    <w:p w:rsidR="003B564D" w:rsidRPr="00A7420B" w:rsidRDefault="003B564D">
      <w:pPr>
        <w:widowControl/>
        <w:kinsoku/>
        <w:rPr>
          <w:b/>
          <w:color w:val="0C0C0C"/>
        </w:rPr>
      </w:pPr>
      <w:r w:rsidRPr="00A7420B">
        <w:rPr>
          <w:b/>
          <w:color w:val="0C0C0C"/>
        </w:rPr>
        <w:br w:type="page"/>
      </w:r>
    </w:p>
    <w:p w:rsidR="00E62C49" w:rsidRPr="00A7420B" w:rsidRDefault="00E62C49" w:rsidP="00E62C49">
      <w:pPr>
        <w:pStyle w:val="ListParagraph"/>
        <w:numPr>
          <w:ilvl w:val="0"/>
          <w:numId w:val="18"/>
        </w:numPr>
        <w:ind w:right="117"/>
        <w:rPr>
          <w:b/>
          <w:spacing w:val="4"/>
          <w:u w:val="single"/>
        </w:rPr>
      </w:pPr>
      <w:r w:rsidRPr="00A7420B">
        <w:rPr>
          <w:b/>
          <w:spacing w:val="4"/>
          <w:u w:val="single"/>
        </w:rPr>
        <w:lastRenderedPageBreak/>
        <w:t>Definition of Evaluators</w:t>
      </w:r>
    </w:p>
    <w:p w:rsidR="00E62C49" w:rsidRPr="00A7420B" w:rsidRDefault="00E62C49" w:rsidP="00E62C49">
      <w:pPr>
        <w:pStyle w:val="BodyText"/>
        <w:spacing w:before="9"/>
        <w:rPr>
          <w:b/>
          <w:sz w:val="24"/>
          <w:szCs w:val="24"/>
        </w:rPr>
      </w:pPr>
    </w:p>
    <w:p w:rsidR="00E62C49" w:rsidRPr="00A7420B" w:rsidRDefault="00E62C49" w:rsidP="00E62C49">
      <w:pPr>
        <w:pStyle w:val="BodyText"/>
        <w:spacing w:before="1" w:line="290" w:lineRule="auto"/>
        <w:ind w:left="111" w:right="191" w:firstLine="4"/>
        <w:rPr>
          <w:rFonts w:ascii="Times New Roman" w:eastAsiaTheme="minorEastAsia" w:hAnsi="Times New Roman" w:cs="Times New Roman"/>
          <w:sz w:val="24"/>
          <w:szCs w:val="24"/>
        </w:rPr>
      </w:pPr>
      <w:r w:rsidRPr="00A7420B">
        <w:rPr>
          <w:rFonts w:ascii="Times New Roman" w:eastAsiaTheme="minorEastAsia" w:hAnsi="Times New Roman" w:cs="Times New Roman"/>
          <w:sz w:val="24"/>
          <w:szCs w:val="24"/>
        </w:rPr>
        <w:t>The Lead Evaluator is the Superintendent and is responsible for conducting and completing an observation of the administrator weighted at 80% and the Independent Evaluator is the administrator responsible for conducting and completing a separate observation of the same administrator weighted at 20% as defined in Commissioner's Regulations.  All evaluators will be employed by the LaFargeville Central School District.</w:t>
      </w:r>
    </w:p>
    <w:p w:rsidR="00E62C49" w:rsidRPr="00A7420B" w:rsidRDefault="00E62C49" w:rsidP="00E62C49">
      <w:pPr>
        <w:pStyle w:val="BodyText"/>
        <w:spacing w:before="1" w:line="290" w:lineRule="auto"/>
        <w:rPr>
          <w:rFonts w:ascii="Times New Roman" w:eastAsiaTheme="minorEastAsia" w:hAnsi="Times New Roman" w:cs="Times New Roman"/>
          <w:sz w:val="24"/>
          <w:szCs w:val="24"/>
        </w:rPr>
      </w:pPr>
    </w:p>
    <w:p w:rsidR="00E62C49" w:rsidRPr="00A7420B" w:rsidRDefault="00E62C49" w:rsidP="003B564D">
      <w:pPr>
        <w:pStyle w:val="BodyText"/>
        <w:spacing w:before="1" w:line="290" w:lineRule="auto"/>
        <w:ind w:left="116" w:right="192" w:hanging="10"/>
        <w:rPr>
          <w:rFonts w:ascii="Times New Roman" w:eastAsiaTheme="minorEastAsia" w:hAnsi="Times New Roman" w:cs="Times New Roman"/>
          <w:sz w:val="24"/>
          <w:szCs w:val="24"/>
        </w:rPr>
      </w:pPr>
      <w:r w:rsidRPr="00A7420B">
        <w:rPr>
          <w:rFonts w:ascii="Times New Roman" w:eastAsiaTheme="minorEastAsia" w:hAnsi="Times New Roman" w:cs="Times New Roman"/>
          <w:sz w:val="24"/>
          <w:szCs w:val="24"/>
        </w:rPr>
        <w:t>The District shall ensure that all evaluators are properly trained and certified, as prescribed by law, before conducting evaluations. The District shall comply with recertification requirements as prescribed by the Commissioner. The District shall ensure that lead evaluators maintain inter-rater reliability over time by conducting annual calibration sessions among evaluators.</w:t>
      </w:r>
    </w:p>
    <w:p w:rsidR="009270DB" w:rsidRPr="00A7420B" w:rsidRDefault="00AB7869" w:rsidP="003B564D">
      <w:pPr>
        <w:pStyle w:val="ListParagraph"/>
        <w:numPr>
          <w:ilvl w:val="0"/>
          <w:numId w:val="18"/>
        </w:numPr>
        <w:spacing w:before="216" w:line="278" w:lineRule="auto"/>
        <w:ind w:right="72"/>
        <w:rPr>
          <w:b/>
          <w:spacing w:val="7"/>
          <w:u w:val="single"/>
        </w:rPr>
      </w:pPr>
      <w:r w:rsidRPr="00A7420B">
        <w:rPr>
          <w:b/>
          <w:spacing w:val="7"/>
          <w:u w:val="single"/>
        </w:rPr>
        <w:t>Ensuring Accurate Teacher and Student Data</w:t>
      </w:r>
    </w:p>
    <w:p w:rsidR="003B564D" w:rsidRPr="00A7420B" w:rsidRDefault="003B564D" w:rsidP="003B564D">
      <w:pPr>
        <w:pStyle w:val="ListParagraph"/>
        <w:spacing w:before="216" w:line="278" w:lineRule="auto"/>
        <w:ind w:left="360" w:right="72"/>
        <w:rPr>
          <w:b/>
          <w:spacing w:val="7"/>
          <w:u w:val="single"/>
        </w:rPr>
      </w:pPr>
    </w:p>
    <w:p w:rsidR="009270DB" w:rsidRPr="00A7420B" w:rsidRDefault="009270DB" w:rsidP="009270DB">
      <w:pPr>
        <w:tabs>
          <w:tab w:val="left" w:pos="720"/>
          <w:tab w:val="left" w:pos="1530"/>
          <w:tab w:val="left" w:pos="9540"/>
        </w:tabs>
      </w:pPr>
      <w:r w:rsidRPr="00A7420B">
        <w:t xml:space="preserve">The District shall provide accurate data to the State Education Department (“SED”) in a format and timeline prescribed by the Commissioner.  The District shall also provide an opportunity for every covered </w:t>
      </w:r>
      <w:r w:rsidR="00F932A3" w:rsidRPr="00A7420B">
        <w:t>principal</w:t>
      </w:r>
      <w:r w:rsidRPr="00A7420B">
        <w:t xml:space="preserve"> to verify the subjects and/or student rosters assigned to him/her.  Verification of subjects and or student rosters shall take place as required by SED.   Verification of students taking state assessments shall take place at the time the exam is administered.  Every covered </w:t>
      </w:r>
      <w:r w:rsidR="006D4A4B" w:rsidRPr="00A7420B">
        <w:t>principal</w:t>
      </w:r>
      <w:r w:rsidRPr="00A7420B">
        <w:t xml:space="preserve"> shall receive a digital copy </w:t>
      </w:r>
      <w:proofErr w:type="gramStart"/>
      <w:r w:rsidRPr="00A7420B">
        <w:t>of each</w:t>
      </w:r>
      <w:r w:rsidR="0081476C">
        <w:t xml:space="preserve"> </w:t>
      </w:r>
      <w:r w:rsidRPr="00A7420B">
        <w:t>verification</w:t>
      </w:r>
      <w:proofErr w:type="gramEnd"/>
      <w:r w:rsidRPr="00A7420B">
        <w:t xml:space="preserve"> from SED.</w:t>
      </w:r>
    </w:p>
    <w:p w:rsidR="009270DB" w:rsidRPr="00A7420B" w:rsidRDefault="009270DB" w:rsidP="009270DB">
      <w:pPr>
        <w:tabs>
          <w:tab w:val="left" w:pos="720"/>
          <w:tab w:val="left" w:pos="1530"/>
          <w:tab w:val="left" w:pos="9540"/>
        </w:tabs>
      </w:pPr>
    </w:p>
    <w:p w:rsidR="009270DB" w:rsidRPr="00A7420B" w:rsidRDefault="009270DB" w:rsidP="009270DB">
      <w:pPr>
        <w:tabs>
          <w:tab w:val="left" w:pos="720"/>
          <w:tab w:val="left" w:pos="1530"/>
          <w:tab w:val="left" w:pos="9540"/>
        </w:tabs>
      </w:pPr>
      <w:r w:rsidRPr="00A7420B">
        <w:t xml:space="preserve">The </w:t>
      </w:r>
      <w:r w:rsidR="00E62C49" w:rsidRPr="00A7420B">
        <w:t>District Data Coordinator</w:t>
      </w:r>
      <w:r w:rsidRPr="00A7420B">
        <w:t xml:space="preserve"> in conjunction with MORIC (Madison Oneida Regional Information Center</w:t>
      </w:r>
      <w:r w:rsidR="00E62C49" w:rsidRPr="00A7420B">
        <w:t xml:space="preserve">) </w:t>
      </w:r>
      <w:r w:rsidRPr="00A7420B">
        <w:t>shall be in charge of collecting the required data, overseeing changes in and maintenance of the local data management systems, and ensuring the accuracy of the data. The Data Coordinator shall have the authority to assign tasks and deadlines, as required.</w:t>
      </w:r>
    </w:p>
    <w:p w:rsidR="009270DB" w:rsidRPr="00A7420B" w:rsidRDefault="009270DB" w:rsidP="009270DB">
      <w:pPr>
        <w:tabs>
          <w:tab w:val="left" w:pos="720"/>
          <w:tab w:val="left" w:pos="1530"/>
          <w:tab w:val="left" w:pos="9540"/>
        </w:tabs>
      </w:pPr>
    </w:p>
    <w:p w:rsidR="009270DB" w:rsidRPr="00A7420B" w:rsidRDefault="009270DB" w:rsidP="003B564D">
      <w:pPr>
        <w:tabs>
          <w:tab w:val="left" w:pos="720"/>
          <w:tab w:val="left" w:pos="1530"/>
          <w:tab w:val="left" w:pos="9540"/>
        </w:tabs>
      </w:pPr>
      <w:r w:rsidRPr="00A7420B">
        <w:t>In the event inaccurate information is discovered by the principal, the principal will give the corrected information, in writing, to the Data Coordinator.  In the event the District does not make the requested changes, the district will provide the reasons in writing to the principal within 10 days of being presented with the corrected information.</w:t>
      </w:r>
    </w:p>
    <w:p w:rsidR="00AB7869" w:rsidRPr="00A7420B" w:rsidRDefault="00AB7869" w:rsidP="000A512C">
      <w:pPr>
        <w:pStyle w:val="ListParagraph"/>
        <w:numPr>
          <w:ilvl w:val="0"/>
          <w:numId w:val="18"/>
        </w:numPr>
        <w:spacing w:before="216"/>
        <w:rPr>
          <w:b/>
          <w:spacing w:val="4"/>
          <w:u w:val="single"/>
        </w:rPr>
      </w:pPr>
      <w:r w:rsidRPr="00A7420B">
        <w:rPr>
          <w:b/>
          <w:spacing w:val="4"/>
          <w:u w:val="single"/>
        </w:rPr>
        <w:t>Development, Security and Scoring of Assessments</w:t>
      </w:r>
    </w:p>
    <w:p w:rsidR="000017F3" w:rsidRPr="00A7420B" w:rsidRDefault="000017F3" w:rsidP="000017F3">
      <w:pPr>
        <w:spacing w:before="216"/>
        <w:ind w:left="144"/>
        <w:rPr>
          <w:b/>
          <w:spacing w:val="4"/>
          <w:u w:val="single"/>
        </w:rPr>
      </w:pPr>
    </w:p>
    <w:p w:rsidR="000017F3" w:rsidRDefault="00F932A3" w:rsidP="003B564D">
      <w:pPr>
        <w:tabs>
          <w:tab w:val="left" w:pos="720"/>
        </w:tabs>
      </w:pPr>
      <w:r w:rsidRPr="00A7420B">
        <w:t>The District Data Coordinator shall be responsible for overseeing test security and the scoring processes utilized by the District under this APPR Plan, and shall take steps to ensure that any assessments and/or measures used to evaluate principals are not disseminated to students before administration, and that principals do not have a vested interest in the outcome of the assessments they score.</w:t>
      </w:r>
    </w:p>
    <w:p w:rsidR="00A7420B" w:rsidRPr="00A7420B" w:rsidRDefault="00A7420B" w:rsidP="003B564D">
      <w:pPr>
        <w:tabs>
          <w:tab w:val="left" w:pos="720"/>
        </w:tabs>
      </w:pPr>
    </w:p>
    <w:p w:rsidR="00AB7869" w:rsidRPr="00A7420B" w:rsidRDefault="00AB7869" w:rsidP="000A512C">
      <w:pPr>
        <w:pStyle w:val="ListParagraph"/>
        <w:numPr>
          <w:ilvl w:val="0"/>
          <w:numId w:val="18"/>
        </w:numPr>
        <w:tabs>
          <w:tab w:val="num" w:pos="576"/>
        </w:tabs>
        <w:spacing w:before="216"/>
        <w:rPr>
          <w:b/>
          <w:spacing w:val="5"/>
          <w:u w:val="single"/>
        </w:rPr>
      </w:pPr>
      <w:r w:rsidRPr="00A7420B">
        <w:rPr>
          <w:b/>
          <w:spacing w:val="5"/>
          <w:u w:val="single"/>
        </w:rPr>
        <w:lastRenderedPageBreak/>
        <w:t xml:space="preserve">Details of the District's </w:t>
      </w:r>
      <w:r w:rsidR="003B564D" w:rsidRPr="00A7420B">
        <w:rPr>
          <w:b/>
          <w:spacing w:val="5"/>
          <w:u w:val="single"/>
        </w:rPr>
        <w:t xml:space="preserve">Principal </w:t>
      </w:r>
      <w:r w:rsidRPr="00A7420B">
        <w:rPr>
          <w:b/>
          <w:spacing w:val="5"/>
          <w:u w:val="single"/>
        </w:rPr>
        <w:t>Evaluation System</w:t>
      </w:r>
    </w:p>
    <w:p w:rsidR="003B564D" w:rsidRPr="00A7420B" w:rsidRDefault="003B564D" w:rsidP="003B564D">
      <w:pPr>
        <w:pStyle w:val="ListParagraph"/>
        <w:spacing w:before="216"/>
        <w:ind w:left="360"/>
        <w:rPr>
          <w:b/>
          <w:spacing w:val="5"/>
          <w:u w:val="single"/>
        </w:rPr>
      </w:pPr>
    </w:p>
    <w:p w:rsidR="003A21F9" w:rsidRPr="00D3491E" w:rsidRDefault="003A21F9" w:rsidP="006D4A4B">
      <w:pPr>
        <w:pStyle w:val="ListParagraph"/>
        <w:numPr>
          <w:ilvl w:val="0"/>
          <w:numId w:val="21"/>
        </w:numPr>
        <w:rPr>
          <w:b/>
        </w:rPr>
      </w:pPr>
      <w:r w:rsidRPr="00D3491E">
        <w:rPr>
          <w:b/>
        </w:rPr>
        <w:t>ISLLC (2008) Leadership Standards</w:t>
      </w:r>
    </w:p>
    <w:p w:rsidR="006D4A4B" w:rsidRPr="00A7420B" w:rsidRDefault="006D4A4B" w:rsidP="006D4A4B">
      <w:pPr>
        <w:ind w:left="360"/>
        <w:rPr>
          <w:rFonts w:ascii="Arial" w:hAnsi="Arial" w:cs="Arial"/>
          <w:b/>
        </w:rPr>
      </w:pPr>
    </w:p>
    <w:p w:rsidR="003A21F9" w:rsidRPr="00A7420B" w:rsidRDefault="003A21F9" w:rsidP="003A21F9">
      <w:pPr>
        <w:rPr>
          <w:rFonts w:ascii="Arial" w:hAnsi="Arial" w:cs="Arial"/>
        </w:rPr>
      </w:pPr>
      <w:r w:rsidRPr="00A7420B">
        <w:rPr>
          <w:rFonts w:ascii="Arial" w:hAnsi="Arial" w:cs="Arial"/>
        </w:rPr>
        <w:t xml:space="preserve">The professional performance review plan for principals is based on the NYS ISLLC Standards (see appendix for complete set of </w:t>
      </w:r>
      <w:r w:rsidRPr="00A7420B">
        <w:rPr>
          <w:rFonts w:ascii="Arial" w:hAnsi="Arial" w:cs="Arial"/>
          <w:i/>
        </w:rPr>
        <w:t>ISLLC Standards</w:t>
      </w:r>
      <w:r w:rsidRPr="00A7420B">
        <w:rPr>
          <w:rFonts w:ascii="Arial" w:hAnsi="Arial" w:cs="Arial"/>
        </w:rPr>
        <w:t xml:space="preserve"> and the accompanying performance indicators):</w:t>
      </w:r>
    </w:p>
    <w:p w:rsidR="003A21F9" w:rsidRPr="00A7420B" w:rsidRDefault="003A21F9" w:rsidP="003A21F9">
      <w:pPr>
        <w:pStyle w:val="ListParagraph"/>
        <w:widowControl/>
        <w:numPr>
          <w:ilvl w:val="0"/>
          <w:numId w:val="15"/>
        </w:numPr>
        <w:kinsoku/>
        <w:spacing w:after="200" w:line="276" w:lineRule="auto"/>
        <w:rPr>
          <w:rFonts w:ascii="Arial" w:hAnsi="Arial" w:cs="Arial"/>
        </w:rPr>
      </w:pPr>
      <w:r w:rsidRPr="00A7420B">
        <w:rPr>
          <w:rFonts w:ascii="Arial" w:hAnsi="Arial" w:cs="Arial"/>
          <w:b/>
        </w:rPr>
        <w:t>Vision, Mission, and Goals</w:t>
      </w:r>
      <w:r w:rsidRPr="00A7420B">
        <w:rPr>
          <w:rFonts w:ascii="Arial" w:hAnsi="Arial" w:cs="Arial"/>
        </w:rPr>
        <w:t>: An education leader promotes the success of every student by facilitating the development, articulation, implementation, and stewardship of a vision of learning that is shared and supported by all stakeholders.</w:t>
      </w:r>
    </w:p>
    <w:p w:rsidR="003A21F9" w:rsidRPr="00A7420B" w:rsidRDefault="003A21F9" w:rsidP="003A21F9">
      <w:pPr>
        <w:pStyle w:val="ListParagraph"/>
        <w:widowControl/>
        <w:numPr>
          <w:ilvl w:val="0"/>
          <w:numId w:val="15"/>
        </w:numPr>
        <w:kinsoku/>
        <w:spacing w:after="200" w:line="276" w:lineRule="auto"/>
        <w:rPr>
          <w:rFonts w:ascii="Arial" w:hAnsi="Arial" w:cs="Arial"/>
        </w:rPr>
      </w:pPr>
      <w:r w:rsidRPr="00A7420B">
        <w:rPr>
          <w:rFonts w:ascii="Arial" w:hAnsi="Arial" w:cs="Arial"/>
          <w:b/>
        </w:rPr>
        <w:t>Teaching and Learning</w:t>
      </w:r>
      <w:r w:rsidRPr="00A7420B">
        <w:rPr>
          <w:rFonts w:ascii="Arial" w:hAnsi="Arial" w:cs="Arial"/>
        </w:rPr>
        <w:t>: An education leader promotes the success of every student by advocating, nurturing, and sustaining a school culture and instructional program conducive to student learning and staff professional growth.</w:t>
      </w:r>
    </w:p>
    <w:p w:rsidR="003A21F9" w:rsidRPr="00A7420B" w:rsidRDefault="003A21F9" w:rsidP="003A21F9">
      <w:pPr>
        <w:pStyle w:val="ListParagraph"/>
        <w:widowControl/>
        <w:numPr>
          <w:ilvl w:val="0"/>
          <w:numId w:val="15"/>
        </w:numPr>
        <w:kinsoku/>
        <w:spacing w:after="200" w:line="276" w:lineRule="auto"/>
        <w:rPr>
          <w:rFonts w:ascii="Arial" w:hAnsi="Arial" w:cs="Arial"/>
        </w:rPr>
      </w:pPr>
      <w:r w:rsidRPr="00A7420B">
        <w:rPr>
          <w:rFonts w:ascii="Arial" w:hAnsi="Arial" w:cs="Arial"/>
          <w:b/>
        </w:rPr>
        <w:t>Managing Organizational Systems and Safety</w:t>
      </w:r>
      <w:r w:rsidRPr="00A7420B">
        <w:rPr>
          <w:rFonts w:ascii="Arial" w:hAnsi="Arial" w:cs="Arial"/>
        </w:rPr>
        <w:t>: An education leader promotes the success of every student by ensuring management of the organization, operation, and resources for a safe, efficient, and effective learning environment.</w:t>
      </w:r>
    </w:p>
    <w:p w:rsidR="003A21F9" w:rsidRPr="00A7420B" w:rsidRDefault="003A21F9" w:rsidP="003A21F9">
      <w:pPr>
        <w:pStyle w:val="ListParagraph"/>
        <w:widowControl/>
        <w:numPr>
          <w:ilvl w:val="0"/>
          <w:numId w:val="15"/>
        </w:numPr>
        <w:kinsoku/>
        <w:spacing w:after="200" w:line="276" w:lineRule="auto"/>
        <w:rPr>
          <w:rFonts w:ascii="Arial" w:hAnsi="Arial" w:cs="Arial"/>
        </w:rPr>
      </w:pPr>
      <w:r w:rsidRPr="00A7420B">
        <w:rPr>
          <w:rFonts w:ascii="Arial" w:hAnsi="Arial" w:cs="Arial"/>
          <w:b/>
        </w:rPr>
        <w:t>Collaborating with Families and Stakeholders</w:t>
      </w:r>
      <w:r w:rsidRPr="00A7420B">
        <w:rPr>
          <w:rFonts w:ascii="Arial" w:hAnsi="Arial" w:cs="Arial"/>
        </w:rPr>
        <w:t>:  An education leader promotes the success of every student by collaborating with faculty and community members, responding to diverse community interests and needs, and mobilizing community resources.</w:t>
      </w:r>
    </w:p>
    <w:p w:rsidR="003A21F9" w:rsidRPr="00A7420B" w:rsidRDefault="003A21F9" w:rsidP="003A21F9">
      <w:pPr>
        <w:pStyle w:val="ListParagraph"/>
        <w:widowControl/>
        <w:numPr>
          <w:ilvl w:val="0"/>
          <w:numId w:val="15"/>
        </w:numPr>
        <w:kinsoku/>
        <w:spacing w:after="200" w:line="276" w:lineRule="auto"/>
        <w:rPr>
          <w:rFonts w:ascii="Arial" w:hAnsi="Arial" w:cs="Arial"/>
        </w:rPr>
      </w:pPr>
      <w:r w:rsidRPr="00A7420B">
        <w:rPr>
          <w:rFonts w:ascii="Arial" w:hAnsi="Arial" w:cs="Arial"/>
          <w:b/>
        </w:rPr>
        <w:t>Ethics and Integrity</w:t>
      </w:r>
      <w:r w:rsidRPr="00A7420B">
        <w:rPr>
          <w:rFonts w:ascii="Arial" w:hAnsi="Arial" w:cs="Arial"/>
        </w:rPr>
        <w:t>: An education leader promotes the success of every student by acting with integrity, fairness, and in an ethical manner.</w:t>
      </w:r>
    </w:p>
    <w:p w:rsidR="000A512C" w:rsidRDefault="003A21F9" w:rsidP="000A512C">
      <w:pPr>
        <w:pStyle w:val="ListParagraph"/>
        <w:widowControl/>
        <w:numPr>
          <w:ilvl w:val="0"/>
          <w:numId w:val="15"/>
        </w:numPr>
        <w:kinsoku/>
        <w:spacing w:after="200" w:line="276" w:lineRule="auto"/>
        <w:rPr>
          <w:rFonts w:ascii="Arial" w:hAnsi="Arial" w:cs="Arial"/>
        </w:rPr>
      </w:pPr>
      <w:r w:rsidRPr="00A7420B">
        <w:rPr>
          <w:rFonts w:ascii="Arial" w:hAnsi="Arial" w:cs="Arial"/>
          <w:b/>
        </w:rPr>
        <w:t>The Education System</w:t>
      </w:r>
      <w:r w:rsidRPr="00A7420B">
        <w:rPr>
          <w:rFonts w:ascii="Arial" w:hAnsi="Arial" w:cs="Arial"/>
        </w:rPr>
        <w:t>: An education leader ensures the success of all students by influencing interrelated systems of political, economic, legal and cultural contexts affecting education to advocate for their teachers’ and students’ needs.</w:t>
      </w:r>
    </w:p>
    <w:p w:rsidR="00A7420B" w:rsidRPr="00A7420B" w:rsidRDefault="00A7420B" w:rsidP="00A7420B">
      <w:pPr>
        <w:pStyle w:val="ListParagraph"/>
        <w:widowControl/>
        <w:kinsoku/>
        <w:spacing w:after="200" w:line="276" w:lineRule="auto"/>
        <w:rPr>
          <w:rFonts w:ascii="Arial" w:hAnsi="Arial" w:cs="Arial"/>
        </w:rPr>
      </w:pPr>
    </w:p>
    <w:p w:rsidR="003A21F9" w:rsidRPr="00D3491E" w:rsidRDefault="003A21F9" w:rsidP="006D4A4B">
      <w:pPr>
        <w:pStyle w:val="ListParagraph"/>
        <w:numPr>
          <w:ilvl w:val="0"/>
          <w:numId w:val="21"/>
        </w:numPr>
        <w:rPr>
          <w:b/>
        </w:rPr>
      </w:pPr>
      <w:r w:rsidRPr="00D3491E">
        <w:rPr>
          <w:b/>
        </w:rPr>
        <w:t>Principal Effectiveness</w:t>
      </w:r>
    </w:p>
    <w:p w:rsidR="00E62C49" w:rsidRPr="00785628" w:rsidRDefault="003A21F9" w:rsidP="003B564D">
      <w:pPr>
        <w:tabs>
          <w:tab w:val="num" w:pos="576"/>
        </w:tabs>
        <w:spacing w:before="216"/>
        <w:rPr>
          <w:rFonts w:ascii="Arial" w:hAnsi="Arial" w:cs="Arial"/>
        </w:rPr>
      </w:pPr>
      <w:r w:rsidRPr="00785628">
        <w:rPr>
          <w:rFonts w:ascii="Arial" w:hAnsi="Arial" w:cs="Arial"/>
        </w:rPr>
        <w:t>Annual professional performance reviews shall differentiate principal effectiven</w:t>
      </w:r>
      <w:r w:rsidR="00E62C49" w:rsidRPr="00785628">
        <w:rPr>
          <w:rFonts w:ascii="Arial" w:hAnsi="Arial" w:cs="Arial"/>
        </w:rPr>
        <w:t xml:space="preserve">ess using the </w:t>
      </w:r>
      <w:r w:rsidR="003B564D" w:rsidRPr="00785628">
        <w:rPr>
          <w:rFonts w:ascii="Arial" w:hAnsi="Arial" w:cs="Arial"/>
        </w:rPr>
        <w:t>state provided HEDI Matrix</w:t>
      </w:r>
      <w:r w:rsidRPr="00785628">
        <w:rPr>
          <w:rFonts w:ascii="Arial" w:hAnsi="Arial" w:cs="Arial"/>
        </w:rPr>
        <w:t xml:space="preserve">. </w:t>
      </w:r>
      <w:r w:rsidR="00E62C49" w:rsidRPr="00785628">
        <w:rPr>
          <w:rFonts w:ascii="Arial" w:hAnsi="Arial" w:cs="Arial"/>
        </w:rPr>
        <w:t xml:space="preserve"> </w:t>
      </w:r>
      <w:r w:rsidRPr="00785628">
        <w:rPr>
          <w:rFonts w:ascii="Arial" w:hAnsi="Arial" w:cs="Arial"/>
        </w:rPr>
        <w:t xml:space="preserve">Based </w:t>
      </w:r>
      <w:r w:rsidR="003B564D" w:rsidRPr="00785628">
        <w:rPr>
          <w:rFonts w:ascii="Arial" w:hAnsi="Arial" w:cs="Arial"/>
        </w:rPr>
        <w:t>on the state provided HEDI Matrix,</w:t>
      </w:r>
      <w:r w:rsidRPr="00785628">
        <w:rPr>
          <w:rFonts w:ascii="Arial" w:hAnsi="Arial" w:cs="Arial"/>
        </w:rPr>
        <w:t xml:space="preserve"> a principal shall be rated as </w:t>
      </w:r>
      <w:proofErr w:type="gramStart"/>
      <w:r w:rsidRPr="00785628">
        <w:rPr>
          <w:rFonts w:ascii="Arial" w:hAnsi="Arial" w:cs="Arial"/>
        </w:rPr>
        <w:t>Highly</w:t>
      </w:r>
      <w:proofErr w:type="gramEnd"/>
      <w:r w:rsidRPr="00785628">
        <w:rPr>
          <w:rFonts w:ascii="Arial" w:hAnsi="Arial" w:cs="Arial"/>
        </w:rPr>
        <w:t xml:space="preserve"> Effective, Effective, Developing, or Ineffective.  </w:t>
      </w:r>
    </w:p>
    <w:p w:rsidR="00A7420B" w:rsidRPr="00A7420B" w:rsidRDefault="00A7420B" w:rsidP="00A7420B">
      <w:pPr>
        <w:rPr>
          <w:rFonts w:ascii="Arial" w:hAnsi="Arial" w:cs="Arial"/>
          <w:b/>
        </w:rPr>
      </w:pPr>
    </w:p>
    <w:p w:rsidR="00A7420B" w:rsidRPr="00D3491E" w:rsidRDefault="00A7420B" w:rsidP="00A7420B">
      <w:pPr>
        <w:pStyle w:val="ListParagraph"/>
        <w:numPr>
          <w:ilvl w:val="0"/>
          <w:numId w:val="21"/>
        </w:numPr>
        <w:rPr>
          <w:b/>
        </w:rPr>
      </w:pPr>
      <w:r w:rsidRPr="00D3491E">
        <w:rPr>
          <w:b/>
        </w:rPr>
        <w:t>Multiple Measures of Effectiveness</w:t>
      </w:r>
    </w:p>
    <w:p w:rsidR="00A7420B" w:rsidRPr="00A7420B" w:rsidRDefault="00A7420B" w:rsidP="00A7420B">
      <w:pPr>
        <w:rPr>
          <w:rFonts w:ascii="Arial" w:hAnsi="Arial" w:cs="Arial"/>
          <w:b/>
        </w:rPr>
      </w:pPr>
    </w:p>
    <w:p w:rsidR="00E62C49" w:rsidRDefault="00A7420B" w:rsidP="00A7420B">
      <w:pPr>
        <w:rPr>
          <w:rFonts w:ascii="Arial" w:hAnsi="Arial" w:cs="Arial"/>
        </w:rPr>
      </w:pPr>
      <w:r w:rsidRPr="00A7420B">
        <w:rPr>
          <w:rFonts w:ascii="Arial" w:hAnsi="Arial" w:cs="Arial"/>
        </w:rPr>
        <w:t>In order to support continuous professional growth, the observation effectiveness score shall be based on supervisory visits, the Multi-Dimensional Rubric, and a review of state and local accountability measures. Data from these sources will serve as the foundation for the principal evaluator’s application of the rubric.</w:t>
      </w:r>
    </w:p>
    <w:p w:rsidR="00785628" w:rsidRPr="00A7420B" w:rsidRDefault="00785628" w:rsidP="00A7420B">
      <w:pPr>
        <w:rPr>
          <w:rFonts w:ascii="Arial" w:hAnsi="Arial" w:cs="Arial"/>
        </w:rPr>
      </w:pPr>
    </w:p>
    <w:p w:rsidR="003B564D" w:rsidRPr="00A7420B" w:rsidRDefault="003B564D" w:rsidP="003B564D">
      <w:pPr>
        <w:ind w:right="1725"/>
        <w:rPr>
          <w:b/>
          <w:color w:val="0E0E0E"/>
          <w:w w:val="105"/>
          <w:u w:val="single"/>
        </w:rPr>
      </w:pPr>
    </w:p>
    <w:p w:rsidR="003B564D" w:rsidRPr="00D3491E" w:rsidRDefault="003B564D" w:rsidP="00D3491E">
      <w:pPr>
        <w:pStyle w:val="ListParagraph"/>
        <w:numPr>
          <w:ilvl w:val="0"/>
          <w:numId w:val="21"/>
        </w:numPr>
        <w:rPr>
          <w:b/>
        </w:rPr>
      </w:pPr>
      <w:r w:rsidRPr="00D3491E">
        <w:rPr>
          <w:b/>
        </w:rPr>
        <w:lastRenderedPageBreak/>
        <w:t>Observation Weights</w:t>
      </w:r>
    </w:p>
    <w:p w:rsidR="003B564D" w:rsidRPr="00A7420B" w:rsidRDefault="003B564D" w:rsidP="003B564D">
      <w:pPr>
        <w:pStyle w:val="BodyText"/>
        <w:spacing w:before="2"/>
        <w:rPr>
          <w:b/>
          <w:sz w:val="24"/>
          <w:szCs w:val="24"/>
        </w:rPr>
      </w:pPr>
    </w:p>
    <w:p w:rsidR="003B564D" w:rsidRPr="00A7420B" w:rsidRDefault="003B564D" w:rsidP="00D3491E">
      <w:pPr>
        <w:pStyle w:val="BodyText"/>
        <w:ind w:left="101" w:firstLine="14"/>
        <w:rPr>
          <w:rFonts w:eastAsiaTheme="minorEastAsia"/>
          <w:sz w:val="24"/>
          <w:szCs w:val="24"/>
        </w:rPr>
      </w:pPr>
      <w:r w:rsidRPr="00A7420B">
        <w:rPr>
          <w:rFonts w:eastAsiaTheme="minorEastAsia"/>
          <w:sz w:val="24"/>
          <w:szCs w:val="24"/>
        </w:rPr>
        <w:t>A principal’s observation score will be calculated by taking an average of the individual components</w:t>
      </w:r>
      <w:r w:rsidR="00A7420B" w:rsidRPr="00A7420B">
        <w:rPr>
          <w:rFonts w:eastAsiaTheme="minorEastAsia"/>
          <w:sz w:val="24"/>
          <w:szCs w:val="24"/>
        </w:rPr>
        <w:t xml:space="preserve"> (1-4 points each)</w:t>
      </w:r>
      <w:r w:rsidRPr="00A7420B">
        <w:rPr>
          <w:rFonts w:eastAsiaTheme="minorEastAsia"/>
          <w:sz w:val="24"/>
          <w:szCs w:val="24"/>
        </w:rPr>
        <w:t xml:space="preserve"> that were observed by the evaluator during the observation time period. The weights will be set at 80% for the supervisor's observation(s) and 20% for the independent observer's observation.  </w:t>
      </w:r>
    </w:p>
    <w:p w:rsidR="00F5215E" w:rsidRPr="00A7420B" w:rsidRDefault="00F5215E" w:rsidP="00F5215E">
      <w:pPr>
        <w:tabs>
          <w:tab w:val="left" w:pos="720"/>
        </w:tabs>
        <w:rPr>
          <w:b/>
          <w:bCs/>
          <w:u w:val="single"/>
        </w:rPr>
      </w:pPr>
    </w:p>
    <w:p w:rsidR="000017F3" w:rsidRPr="00A7420B" w:rsidRDefault="000017F3" w:rsidP="00F5215E">
      <w:pPr>
        <w:tabs>
          <w:tab w:val="left" w:pos="720"/>
        </w:tabs>
        <w:rPr>
          <w:bCs/>
        </w:rPr>
      </w:pPr>
    </w:p>
    <w:p w:rsidR="006E230F" w:rsidRPr="00D3491E" w:rsidRDefault="00A7420B" w:rsidP="00D3491E">
      <w:pPr>
        <w:pStyle w:val="ListParagraph"/>
        <w:numPr>
          <w:ilvl w:val="0"/>
          <w:numId w:val="21"/>
        </w:numPr>
        <w:rPr>
          <w:b/>
        </w:rPr>
      </w:pPr>
      <w:r w:rsidRPr="00D3491E">
        <w:rPr>
          <w:b/>
        </w:rPr>
        <w:t>Observation Effectiveness</w:t>
      </w:r>
    </w:p>
    <w:p w:rsidR="006E230F" w:rsidRPr="00785628" w:rsidRDefault="006E230F" w:rsidP="006E230F">
      <w:pPr>
        <w:tabs>
          <w:tab w:val="left" w:pos="720"/>
        </w:tabs>
        <w:ind w:left="144"/>
        <w:rPr>
          <w:rFonts w:ascii="Arial" w:hAnsi="Arial" w:cs="Arial"/>
        </w:rPr>
      </w:pPr>
    </w:p>
    <w:p w:rsidR="006E230F" w:rsidRPr="00785628" w:rsidRDefault="00A07503" w:rsidP="006E230F">
      <w:pPr>
        <w:tabs>
          <w:tab w:val="left" w:pos="720"/>
        </w:tabs>
        <w:rPr>
          <w:rFonts w:ascii="Arial" w:hAnsi="Arial" w:cs="Arial"/>
        </w:rPr>
      </w:pPr>
      <w:r w:rsidRPr="00785628">
        <w:rPr>
          <w:rFonts w:ascii="Arial" w:hAnsi="Arial" w:cs="Arial"/>
        </w:rPr>
        <w:t>Principal</w:t>
      </w:r>
      <w:r w:rsidR="006E230F" w:rsidRPr="00785628">
        <w:rPr>
          <w:rFonts w:ascii="Arial" w:hAnsi="Arial" w:cs="Arial"/>
        </w:rPr>
        <w:t xml:space="preserve"> performance will be assessed using multiple measures grounded in the New York State Administrative Standards.  The Multi-dimensional Rubric</w:t>
      </w:r>
      <w:r w:rsidRPr="00785628">
        <w:rPr>
          <w:rFonts w:ascii="Arial" w:hAnsi="Arial" w:cs="Arial"/>
        </w:rPr>
        <w:t>, selected from the State approved list,</w:t>
      </w:r>
      <w:r w:rsidR="006E230F" w:rsidRPr="00785628">
        <w:rPr>
          <w:rFonts w:ascii="Arial" w:hAnsi="Arial" w:cs="Arial"/>
        </w:rPr>
        <w:t xml:space="preserve"> will be used to assess the principal’</w:t>
      </w:r>
      <w:r w:rsidR="00A7420B" w:rsidRPr="00785628">
        <w:rPr>
          <w:rFonts w:ascii="Arial" w:hAnsi="Arial" w:cs="Arial"/>
        </w:rPr>
        <w:t xml:space="preserve">s professional practice.  </w:t>
      </w:r>
    </w:p>
    <w:p w:rsidR="006E230F" w:rsidRPr="00785628" w:rsidRDefault="006E230F" w:rsidP="006E230F">
      <w:pPr>
        <w:tabs>
          <w:tab w:val="left" w:pos="720"/>
        </w:tabs>
        <w:rPr>
          <w:rFonts w:ascii="Arial" w:hAnsi="Arial" w:cs="Arial"/>
        </w:rPr>
      </w:pPr>
    </w:p>
    <w:p w:rsidR="00A07503" w:rsidRPr="00785628" w:rsidRDefault="006E230F" w:rsidP="006E230F">
      <w:pPr>
        <w:tabs>
          <w:tab w:val="left" w:pos="720"/>
        </w:tabs>
        <w:rPr>
          <w:rFonts w:ascii="Arial" w:hAnsi="Arial" w:cs="Arial"/>
        </w:rPr>
      </w:pPr>
      <w:r w:rsidRPr="00785628">
        <w:rPr>
          <w:rFonts w:ascii="Arial" w:hAnsi="Arial" w:cs="Arial"/>
        </w:rPr>
        <w:t xml:space="preserve">Evidence will be gleaned from:  </w:t>
      </w:r>
      <w:r w:rsidR="00A07503" w:rsidRPr="00785628">
        <w:rPr>
          <w:rFonts w:ascii="Arial" w:hAnsi="Arial" w:cs="Arial"/>
        </w:rPr>
        <w:t>teacher evaluation process, SLO, transition to Core Standards,</w:t>
      </w:r>
      <w:r w:rsidRPr="00785628">
        <w:rPr>
          <w:rFonts w:ascii="Arial" w:hAnsi="Arial" w:cs="Arial"/>
        </w:rPr>
        <w:t xml:space="preserve"> </w:t>
      </w:r>
      <w:r w:rsidR="00A07503" w:rsidRPr="00785628">
        <w:rPr>
          <w:rFonts w:ascii="Arial" w:hAnsi="Arial" w:cs="Arial"/>
        </w:rPr>
        <w:t>principal</w:t>
      </w:r>
      <w:r w:rsidRPr="00785628">
        <w:rPr>
          <w:rFonts w:ascii="Arial" w:hAnsi="Arial" w:cs="Arial"/>
        </w:rPr>
        <w:t xml:space="preserve"> created documents, professional development summary and other resources provided by the </w:t>
      </w:r>
      <w:r w:rsidR="00A07503" w:rsidRPr="00785628">
        <w:rPr>
          <w:rFonts w:ascii="Arial" w:hAnsi="Arial" w:cs="Arial"/>
        </w:rPr>
        <w:t>principal</w:t>
      </w:r>
      <w:r w:rsidRPr="00785628">
        <w:rPr>
          <w:rFonts w:ascii="Arial" w:hAnsi="Arial" w:cs="Arial"/>
        </w:rPr>
        <w:t xml:space="preserve">.  </w:t>
      </w:r>
    </w:p>
    <w:p w:rsidR="00A07503" w:rsidRPr="00785628" w:rsidRDefault="00A07503" w:rsidP="006E230F">
      <w:pPr>
        <w:tabs>
          <w:tab w:val="left" w:pos="720"/>
        </w:tabs>
        <w:rPr>
          <w:rFonts w:ascii="Arial" w:hAnsi="Arial" w:cs="Arial"/>
        </w:rPr>
      </w:pPr>
    </w:p>
    <w:p w:rsidR="00D3491E" w:rsidRDefault="006E230F" w:rsidP="009D0009">
      <w:pPr>
        <w:tabs>
          <w:tab w:val="left" w:pos="720"/>
        </w:tabs>
        <w:rPr>
          <w:rFonts w:ascii="Arial" w:hAnsi="Arial" w:cs="Arial"/>
        </w:rPr>
      </w:pPr>
      <w:r w:rsidRPr="00785628">
        <w:rPr>
          <w:rFonts w:ascii="Arial" w:hAnsi="Arial" w:cs="Arial"/>
        </w:rPr>
        <w:t xml:space="preserve">The responsibility for gathering supporting evidence of a principal’s performance is shared by the principal and the superintendent; both must provide a commitment to provide a complete and accurate picture of the </w:t>
      </w:r>
      <w:r w:rsidR="009417E4" w:rsidRPr="00785628">
        <w:rPr>
          <w:rFonts w:ascii="Arial" w:hAnsi="Arial" w:cs="Arial"/>
        </w:rPr>
        <w:t>principal</w:t>
      </w:r>
      <w:r w:rsidRPr="00785628">
        <w:rPr>
          <w:rFonts w:ascii="Arial" w:hAnsi="Arial" w:cs="Arial"/>
        </w:rPr>
        <w:t>’s professional performance.</w:t>
      </w:r>
      <w:r w:rsidR="00A7420B" w:rsidRPr="00785628">
        <w:rPr>
          <w:rFonts w:ascii="Arial" w:hAnsi="Arial" w:cs="Arial"/>
        </w:rPr>
        <w:t xml:space="preserve">  </w:t>
      </w:r>
    </w:p>
    <w:p w:rsidR="00D3491E" w:rsidRDefault="00D3491E" w:rsidP="009D0009">
      <w:pPr>
        <w:tabs>
          <w:tab w:val="left" w:pos="720"/>
        </w:tabs>
        <w:rPr>
          <w:rFonts w:ascii="Arial" w:hAnsi="Arial" w:cs="Arial"/>
        </w:rPr>
      </w:pPr>
    </w:p>
    <w:p w:rsidR="009D0009" w:rsidRDefault="00A7420B" w:rsidP="009D0009">
      <w:pPr>
        <w:tabs>
          <w:tab w:val="left" w:pos="720"/>
        </w:tabs>
        <w:rPr>
          <w:rFonts w:ascii="Arial" w:hAnsi="Arial" w:cs="Arial"/>
        </w:rPr>
      </w:pPr>
      <w:r w:rsidRPr="00785628">
        <w:rPr>
          <w:rFonts w:ascii="Arial" w:hAnsi="Arial" w:cs="Arial"/>
        </w:rPr>
        <w:t xml:space="preserve">Each component will be scored using a 4 point rubric and the </w:t>
      </w:r>
      <w:r w:rsidR="00D3491E">
        <w:rPr>
          <w:rFonts w:ascii="Arial" w:hAnsi="Arial" w:cs="Arial"/>
        </w:rPr>
        <w:t>overall observation</w:t>
      </w:r>
      <w:r w:rsidR="00712733">
        <w:rPr>
          <w:rFonts w:ascii="Arial" w:hAnsi="Arial" w:cs="Arial"/>
        </w:rPr>
        <w:t xml:space="preserve"> effectiveness</w:t>
      </w:r>
      <w:r w:rsidR="00D3491E">
        <w:rPr>
          <w:rFonts w:ascii="Arial" w:hAnsi="Arial" w:cs="Arial"/>
        </w:rPr>
        <w:t xml:space="preserve"> rating</w:t>
      </w:r>
      <w:r w:rsidRPr="00785628">
        <w:rPr>
          <w:rFonts w:ascii="Arial" w:hAnsi="Arial" w:cs="Arial"/>
        </w:rPr>
        <w:t xml:space="preserve"> will be determined by finding the average rubric score and</w:t>
      </w:r>
      <w:r w:rsidR="00D3491E">
        <w:rPr>
          <w:rFonts w:ascii="Arial" w:hAnsi="Arial" w:cs="Arial"/>
        </w:rPr>
        <w:t xml:space="preserve"> utilizing the negotiated overall observation scoring ranges below (f).</w:t>
      </w:r>
      <w:r w:rsidRPr="00785628">
        <w:rPr>
          <w:rFonts w:ascii="Arial" w:hAnsi="Arial" w:cs="Arial"/>
        </w:rPr>
        <w:t xml:space="preserve"> </w:t>
      </w:r>
    </w:p>
    <w:p w:rsidR="00785628" w:rsidRDefault="00785628" w:rsidP="009D0009">
      <w:pPr>
        <w:tabs>
          <w:tab w:val="left" w:pos="720"/>
        </w:tabs>
        <w:rPr>
          <w:rFonts w:ascii="Arial" w:hAnsi="Arial" w:cs="Arial"/>
        </w:rPr>
      </w:pPr>
    </w:p>
    <w:p w:rsidR="00785628" w:rsidRDefault="00785628" w:rsidP="009D0009">
      <w:pPr>
        <w:tabs>
          <w:tab w:val="left" w:pos="720"/>
        </w:tabs>
        <w:rPr>
          <w:rFonts w:ascii="Arial" w:hAnsi="Arial" w:cs="Arial"/>
        </w:rPr>
      </w:pPr>
    </w:p>
    <w:p w:rsidR="00785628" w:rsidRPr="00D3491E" w:rsidRDefault="00A7420B" w:rsidP="00D3491E">
      <w:pPr>
        <w:pStyle w:val="ListParagraph"/>
        <w:widowControl/>
        <w:numPr>
          <w:ilvl w:val="0"/>
          <w:numId w:val="21"/>
        </w:numPr>
        <w:kinsoku/>
        <w:rPr>
          <w:b/>
        </w:rPr>
      </w:pPr>
      <w:r w:rsidRPr="00D3491E">
        <w:rPr>
          <w:b/>
        </w:rPr>
        <w:t>Negotiated Overall Observation Scoring Ranges and Ratings</w:t>
      </w:r>
    </w:p>
    <w:p w:rsidR="00A7420B" w:rsidRPr="00D3491E" w:rsidRDefault="00A7420B" w:rsidP="00D3491E">
      <w:pPr>
        <w:spacing w:before="47" w:line="336" w:lineRule="auto"/>
        <w:ind w:right="111"/>
        <w:rPr>
          <w:rFonts w:ascii="Arial" w:hAnsi="Arial" w:cs="Arial"/>
        </w:rPr>
      </w:pPr>
      <w:r w:rsidRPr="00785628">
        <w:rPr>
          <w:rFonts w:ascii="Arial" w:hAnsi="Arial" w:cs="Arial"/>
        </w:rPr>
        <w:t>Pursuant to the Rules of the Commissioner of Education, the Parties have negotiated the following scoring ranges and rating for the overall observation category.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098"/>
        <w:gridCol w:w="2502"/>
        <w:gridCol w:w="2610"/>
      </w:tblGrid>
      <w:tr w:rsidR="00A7420B" w:rsidRPr="00A7420B" w:rsidTr="00A7420B">
        <w:trPr>
          <w:trHeight w:val="432"/>
        </w:trPr>
        <w:tc>
          <w:tcPr>
            <w:tcW w:w="7210" w:type="dxa"/>
            <w:gridSpan w:val="3"/>
            <w:tcBorders>
              <w:left w:val="single" w:sz="8" w:space="0" w:color="000000"/>
              <w:bottom w:val="single" w:sz="6" w:space="0" w:color="000000"/>
              <w:right w:val="single" w:sz="6" w:space="0" w:color="000000"/>
            </w:tcBorders>
            <w:vAlign w:val="center"/>
          </w:tcPr>
          <w:p w:rsidR="00A7420B" w:rsidRPr="00A7420B" w:rsidRDefault="00A7420B" w:rsidP="00A7420B">
            <w:pPr>
              <w:pStyle w:val="TableParagraph"/>
              <w:spacing w:before="25"/>
              <w:jc w:val="center"/>
              <w:rPr>
                <w:b/>
                <w:sz w:val="24"/>
                <w:szCs w:val="24"/>
              </w:rPr>
            </w:pPr>
            <w:r w:rsidRPr="00A7420B">
              <w:rPr>
                <w:b/>
                <w:color w:val="0E0E0E"/>
                <w:sz w:val="24"/>
                <w:szCs w:val="24"/>
              </w:rPr>
              <w:t>Overall Observation Category  Score &amp; Rating</w:t>
            </w:r>
          </w:p>
        </w:tc>
      </w:tr>
      <w:tr w:rsidR="00A7420B" w:rsidRPr="00A7420B" w:rsidTr="00A7420B">
        <w:trPr>
          <w:trHeight w:val="432"/>
        </w:trPr>
        <w:tc>
          <w:tcPr>
            <w:tcW w:w="2098" w:type="dxa"/>
            <w:tcBorders>
              <w:top w:val="single" w:sz="6" w:space="0" w:color="000000"/>
              <w:left w:val="single" w:sz="8" w:space="0" w:color="000000"/>
              <w:bottom w:val="single" w:sz="6" w:space="0" w:color="000000"/>
              <w:right w:val="single" w:sz="6" w:space="0" w:color="000000"/>
            </w:tcBorders>
            <w:vAlign w:val="center"/>
          </w:tcPr>
          <w:p w:rsidR="00A7420B" w:rsidRPr="00A7420B" w:rsidRDefault="00A7420B" w:rsidP="00A7420B">
            <w:pPr>
              <w:jc w:val="center"/>
            </w:pPr>
          </w:p>
        </w:tc>
        <w:tc>
          <w:tcPr>
            <w:tcW w:w="2502" w:type="dxa"/>
            <w:tcBorders>
              <w:top w:val="single" w:sz="6" w:space="0" w:color="000000"/>
              <w:left w:val="single" w:sz="6" w:space="0" w:color="000000"/>
              <w:bottom w:val="single" w:sz="6" w:space="0" w:color="000000"/>
            </w:tcBorders>
            <w:vAlign w:val="center"/>
          </w:tcPr>
          <w:p w:rsidR="00A7420B" w:rsidRPr="00A7420B" w:rsidRDefault="00A7420B" w:rsidP="00A7420B">
            <w:pPr>
              <w:pStyle w:val="TableParagraph"/>
              <w:spacing w:before="44"/>
              <w:rPr>
                <w:b/>
                <w:sz w:val="24"/>
                <w:szCs w:val="24"/>
              </w:rPr>
            </w:pPr>
            <w:r w:rsidRPr="00A7420B">
              <w:rPr>
                <w:b/>
                <w:color w:val="0E0E0E"/>
                <w:w w:val="105"/>
                <w:sz w:val="24"/>
                <w:szCs w:val="24"/>
              </w:rPr>
              <w:t>Minimum Value</w:t>
            </w:r>
          </w:p>
        </w:tc>
        <w:tc>
          <w:tcPr>
            <w:tcW w:w="2610" w:type="dxa"/>
            <w:tcBorders>
              <w:top w:val="single" w:sz="6" w:space="0" w:color="000000"/>
              <w:bottom w:val="single" w:sz="6" w:space="0" w:color="000000"/>
              <w:right w:val="single" w:sz="6" w:space="0" w:color="000000"/>
            </w:tcBorders>
            <w:vAlign w:val="center"/>
          </w:tcPr>
          <w:p w:rsidR="00A7420B" w:rsidRPr="00A7420B" w:rsidRDefault="00A7420B" w:rsidP="00A7420B">
            <w:pPr>
              <w:pStyle w:val="TableParagraph"/>
              <w:spacing w:before="97"/>
              <w:ind w:left="174" w:right="167"/>
              <w:jc w:val="center"/>
              <w:rPr>
                <w:b/>
                <w:sz w:val="24"/>
                <w:szCs w:val="24"/>
              </w:rPr>
            </w:pPr>
            <w:r w:rsidRPr="00A7420B">
              <w:rPr>
                <w:b/>
                <w:color w:val="0E0E0E"/>
                <w:w w:val="105"/>
                <w:sz w:val="24"/>
                <w:szCs w:val="24"/>
              </w:rPr>
              <w:t>Maximum Value</w:t>
            </w:r>
          </w:p>
        </w:tc>
      </w:tr>
      <w:tr w:rsidR="00A7420B" w:rsidRPr="00A7420B" w:rsidTr="00A7420B">
        <w:trPr>
          <w:trHeight w:val="432"/>
        </w:trPr>
        <w:tc>
          <w:tcPr>
            <w:tcW w:w="2098" w:type="dxa"/>
            <w:tcBorders>
              <w:top w:val="single" w:sz="6" w:space="0" w:color="000000"/>
              <w:left w:val="single" w:sz="8" w:space="0" w:color="000000"/>
              <w:bottom w:val="single" w:sz="6" w:space="0" w:color="000000"/>
            </w:tcBorders>
            <w:vAlign w:val="center"/>
          </w:tcPr>
          <w:p w:rsidR="00A7420B" w:rsidRPr="00A7420B" w:rsidRDefault="00A7420B" w:rsidP="00A7420B">
            <w:pPr>
              <w:pStyle w:val="TableParagraph"/>
              <w:spacing w:before="30"/>
              <w:ind w:left="124"/>
              <w:jc w:val="center"/>
              <w:rPr>
                <w:sz w:val="24"/>
                <w:szCs w:val="24"/>
              </w:rPr>
            </w:pPr>
            <w:r w:rsidRPr="00A7420B">
              <w:rPr>
                <w:color w:val="0E0E0E"/>
                <w:w w:val="90"/>
                <w:sz w:val="24"/>
                <w:szCs w:val="24"/>
              </w:rPr>
              <w:t>H</w:t>
            </w:r>
          </w:p>
        </w:tc>
        <w:tc>
          <w:tcPr>
            <w:tcW w:w="2502" w:type="dxa"/>
            <w:tcBorders>
              <w:top w:val="single" w:sz="6" w:space="0" w:color="000000"/>
              <w:bottom w:val="single" w:sz="6" w:space="0" w:color="000000"/>
            </w:tcBorders>
            <w:vAlign w:val="center"/>
          </w:tcPr>
          <w:p w:rsidR="00A7420B" w:rsidRPr="00A7420B" w:rsidRDefault="00A7420B" w:rsidP="00A7420B">
            <w:pPr>
              <w:pStyle w:val="TableParagraph"/>
              <w:spacing w:before="17"/>
              <w:ind w:left="114"/>
              <w:jc w:val="center"/>
              <w:rPr>
                <w:rFonts w:ascii="Times New Roman" w:hAnsi="Times New Roman"/>
                <w:sz w:val="24"/>
                <w:szCs w:val="24"/>
              </w:rPr>
            </w:pPr>
            <w:r w:rsidRPr="00A7420B">
              <w:rPr>
                <w:rFonts w:ascii="Times New Roman" w:hAnsi="Times New Roman"/>
                <w:color w:val="0E0E0E"/>
                <w:w w:val="110"/>
                <w:sz w:val="24"/>
                <w:szCs w:val="24"/>
              </w:rPr>
              <w:t>3.5</w:t>
            </w:r>
          </w:p>
        </w:tc>
        <w:tc>
          <w:tcPr>
            <w:tcW w:w="2610" w:type="dxa"/>
            <w:tcBorders>
              <w:top w:val="single" w:sz="6" w:space="0" w:color="000000"/>
              <w:bottom w:val="single" w:sz="6" w:space="0" w:color="000000"/>
              <w:right w:val="single" w:sz="6" w:space="0" w:color="000000"/>
            </w:tcBorders>
            <w:vAlign w:val="center"/>
          </w:tcPr>
          <w:p w:rsidR="00A7420B" w:rsidRPr="00A7420B" w:rsidRDefault="00A7420B" w:rsidP="00A7420B">
            <w:pPr>
              <w:pStyle w:val="TableParagraph"/>
              <w:spacing w:before="22"/>
              <w:ind w:left="174" w:right="164"/>
              <w:jc w:val="center"/>
              <w:rPr>
                <w:rFonts w:ascii="Times New Roman" w:hAnsi="Times New Roman"/>
                <w:sz w:val="24"/>
                <w:szCs w:val="24"/>
              </w:rPr>
            </w:pPr>
            <w:r w:rsidRPr="00A7420B">
              <w:rPr>
                <w:rFonts w:ascii="Times New Roman" w:hAnsi="Times New Roman"/>
                <w:color w:val="0E0E0E"/>
                <w:w w:val="110"/>
                <w:sz w:val="24"/>
                <w:szCs w:val="24"/>
              </w:rPr>
              <w:t>4.0</w:t>
            </w:r>
          </w:p>
        </w:tc>
      </w:tr>
      <w:tr w:rsidR="00A7420B" w:rsidRPr="00A7420B" w:rsidTr="00A7420B">
        <w:trPr>
          <w:trHeight w:val="432"/>
        </w:trPr>
        <w:tc>
          <w:tcPr>
            <w:tcW w:w="2098" w:type="dxa"/>
            <w:tcBorders>
              <w:top w:val="single" w:sz="6" w:space="0" w:color="000000"/>
              <w:left w:val="single" w:sz="8" w:space="0" w:color="000000"/>
              <w:right w:val="single" w:sz="6" w:space="0" w:color="000000"/>
            </w:tcBorders>
            <w:vAlign w:val="center"/>
          </w:tcPr>
          <w:p w:rsidR="00A7420B" w:rsidRPr="00A7420B" w:rsidRDefault="00A7420B" w:rsidP="00A7420B">
            <w:pPr>
              <w:pStyle w:val="TableParagraph"/>
              <w:spacing w:before="30"/>
              <w:ind w:left="124"/>
              <w:jc w:val="center"/>
              <w:rPr>
                <w:color w:val="0E0E0E"/>
                <w:w w:val="90"/>
                <w:sz w:val="24"/>
                <w:szCs w:val="24"/>
              </w:rPr>
            </w:pPr>
            <w:r w:rsidRPr="00A7420B">
              <w:rPr>
                <w:color w:val="0E0E0E"/>
                <w:w w:val="90"/>
                <w:sz w:val="24"/>
                <w:szCs w:val="24"/>
              </w:rPr>
              <w:t>E</w:t>
            </w:r>
          </w:p>
        </w:tc>
        <w:tc>
          <w:tcPr>
            <w:tcW w:w="2502" w:type="dxa"/>
            <w:tcBorders>
              <w:top w:val="single" w:sz="6" w:space="0" w:color="000000"/>
              <w:left w:val="single" w:sz="6" w:space="0" w:color="000000"/>
            </w:tcBorders>
            <w:vAlign w:val="center"/>
          </w:tcPr>
          <w:p w:rsidR="00A7420B" w:rsidRPr="00A7420B" w:rsidRDefault="00A7420B" w:rsidP="00A7420B">
            <w:pPr>
              <w:pStyle w:val="TableParagraph"/>
              <w:spacing w:before="17"/>
              <w:ind w:left="114"/>
              <w:jc w:val="center"/>
              <w:rPr>
                <w:rFonts w:ascii="Times New Roman" w:hAnsi="Times New Roman"/>
                <w:color w:val="0E0E0E"/>
                <w:w w:val="110"/>
                <w:sz w:val="24"/>
                <w:szCs w:val="24"/>
              </w:rPr>
            </w:pPr>
            <w:r w:rsidRPr="00A7420B">
              <w:rPr>
                <w:rFonts w:ascii="Times New Roman" w:hAnsi="Times New Roman"/>
                <w:color w:val="0E0E0E"/>
                <w:w w:val="110"/>
                <w:sz w:val="24"/>
                <w:szCs w:val="24"/>
              </w:rPr>
              <w:t>2.5</w:t>
            </w:r>
          </w:p>
        </w:tc>
        <w:tc>
          <w:tcPr>
            <w:tcW w:w="2610" w:type="dxa"/>
            <w:tcBorders>
              <w:top w:val="single" w:sz="6" w:space="0" w:color="000000"/>
              <w:right w:val="single" w:sz="6" w:space="0" w:color="000000"/>
            </w:tcBorders>
            <w:vAlign w:val="center"/>
          </w:tcPr>
          <w:p w:rsidR="00A7420B" w:rsidRPr="00A7420B" w:rsidRDefault="00A7420B" w:rsidP="00A7420B">
            <w:pPr>
              <w:pStyle w:val="TableParagraph"/>
              <w:spacing w:before="22"/>
              <w:ind w:left="174" w:right="164"/>
              <w:jc w:val="center"/>
              <w:rPr>
                <w:rFonts w:ascii="Times New Roman" w:hAnsi="Times New Roman"/>
                <w:color w:val="0E0E0E"/>
                <w:w w:val="110"/>
                <w:sz w:val="24"/>
                <w:szCs w:val="24"/>
              </w:rPr>
            </w:pPr>
            <w:r w:rsidRPr="00A7420B">
              <w:rPr>
                <w:rFonts w:ascii="Times New Roman" w:hAnsi="Times New Roman"/>
                <w:color w:val="0E0E0E"/>
                <w:w w:val="110"/>
                <w:sz w:val="24"/>
                <w:szCs w:val="24"/>
              </w:rPr>
              <w:t>3.49</w:t>
            </w:r>
          </w:p>
        </w:tc>
      </w:tr>
      <w:tr w:rsidR="00A7420B" w:rsidRPr="00A7420B" w:rsidTr="00A7420B">
        <w:trPr>
          <w:trHeight w:val="432"/>
        </w:trPr>
        <w:tc>
          <w:tcPr>
            <w:tcW w:w="2098" w:type="dxa"/>
            <w:tcBorders>
              <w:left w:val="single" w:sz="8" w:space="0" w:color="000000"/>
              <w:bottom w:val="single" w:sz="6" w:space="0" w:color="000000"/>
              <w:right w:val="single" w:sz="6" w:space="0" w:color="000000"/>
            </w:tcBorders>
            <w:vAlign w:val="center"/>
          </w:tcPr>
          <w:p w:rsidR="00A7420B" w:rsidRPr="00A7420B" w:rsidRDefault="00A7420B" w:rsidP="00A7420B">
            <w:pPr>
              <w:pStyle w:val="TableParagraph"/>
              <w:spacing w:before="30"/>
              <w:ind w:left="124"/>
              <w:jc w:val="center"/>
              <w:rPr>
                <w:color w:val="0E0E0E"/>
                <w:w w:val="90"/>
                <w:sz w:val="24"/>
                <w:szCs w:val="24"/>
              </w:rPr>
            </w:pPr>
            <w:r w:rsidRPr="00A7420B">
              <w:rPr>
                <w:color w:val="0E0E0E"/>
                <w:w w:val="90"/>
                <w:sz w:val="24"/>
                <w:szCs w:val="24"/>
              </w:rPr>
              <w:t>D</w:t>
            </w:r>
          </w:p>
        </w:tc>
        <w:tc>
          <w:tcPr>
            <w:tcW w:w="2502" w:type="dxa"/>
            <w:tcBorders>
              <w:left w:val="single" w:sz="6" w:space="0" w:color="000000"/>
              <w:bottom w:val="single" w:sz="6" w:space="0" w:color="000000"/>
            </w:tcBorders>
            <w:vAlign w:val="center"/>
          </w:tcPr>
          <w:p w:rsidR="00A7420B" w:rsidRPr="00A7420B" w:rsidRDefault="00A7420B" w:rsidP="00A7420B">
            <w:pPr>
              <w:pStyle w:val="TableParagraph"/>
              <w:spacing w:before="17"/>
              <w:ind w:left="114"/>
              <w:jc w:val="center"/>
              <w:rPr>
                <w:rFonts w:ascii="Times New Roman" w:hAnsi="Times New Roman"/>
                <w:color w:val="0E0E0E"/>
                <w:w w:val="110"/>
                <w:sz w:val="24"/>
                <w:szCs w:val="24"/>
              </w:rPr>
            </w:pPr>
            <w:r w:rsidRPr="00A7420B">
              <w:rPr>
                <w:rFonts w:ascii="Times New Roman" w:hAnsi="Times New Roman"/>
                <w:color w:val="0E0E0E"/>
                <w:w w:val="110"/>
                <w:sz w:val="24"/>
                <w:szCs w:val="24"/>
              </w:rPr>
              <w:t>1.5</w:t>
            </w:r>
          </w:p>
        </w:tc>
        <w:tc>
          <w:tcPr>
            <w:tcW w:w="2610" w:type="dxa"/>
            <w:tcBorders>
              <w:bottom w:val="single" w:sz="6" w:space="0" w:color="000000"/>
              <w:right w:val="single" w:sz="6" w:space="0" w:color="000000"/>
            </w:tcBorders>
            <w:vAlign w:val="center"/>
          </w:tcPr>
          <w:p w:rsidR="00A7420B" w:rsidRPr="00A7420B" w:rsidRDefault="00A7420B" w:rsidP="00A7420B">
            <w:pPr>
              <w:pStyle w:val="TableParagraph"/>
              <w:spacing w:before="22"/>
              <w:ind w:left="174" w:right="164"/>
              <w:jc w:val="center"/>
              <w:rPr>
                <w:rFonts w:ascii="Times New Roman" w:hAnsi="Times New Roman"/>
                <w:color w:val="0E0E0E"/>
                <w:w w:val="110"/>
                <w:sz w:val="24"/>
                <w:szCs w:val="24"/>
              </w:rPr>
            </w:pPr>
            <w:r w:rsidRPr="00A7420B">
              <w:rPr>
                <w:rFonts w:ascii="Times New Roman" w:hAnsi="Times New Roman"/>
                <w:color w:val="0E0E0E"/>
                <w:w w:val="110"/>
                <w:sz w:val="24"/>
                <w:szCs w:val="24"/>
              </w:rPr>
              <w:t>2.49</w:t>
            </w:r>
          </w:p>
        </w:tc>
      </w:tr>
      <w:tr w:rsidR="00A7420B" w:rsidRPr="00A7420B" w:rsidTr="00A7420B">
        <w:trPr>
          <w:trHeight w:val="432"/>
        </w:trPr>
        <w:tc>
          <w:tcPr>
            <w:tcW w:w="2098" w:type="dxa"/>
            <w:tcBorders>
              <w:top w:val="single" w:sz="6" w:space="0" w:color="000000"/>
              <w:left w:val="single" w:sz="8" w:space="0" w:color="000000"/>
              <w:bottom w:val="single" w:sz="6" w:space="0" w:color="000000"/>
              <w:right w:val="single" w:sz="6" w:space="0" w:color="000000"/>
            </w:tcBorders>
            <w:vAlign w:val="center"/>
          </w:tcPr>
          <w:p w:rsidR="00A7420B" w:rsidRPr="00A7420B" w:rsidRDefault="00A7420B" w:rsidP="00A7420B">
            <w:pPr>
              <w:pStyle w:val="TableParagraph"/>
              <w:spacing w:before="30"/>
              <w:ind w:left="124"/>
              <w:jc w:val="center"/>
              <w:rPr>
                <w:color w:val="0E0E0E"/>
                <w:w w:val="90"/>
                <w:sz w:val="24"/>
                <w:szCs w:val="24"/>
              </w:rPr>
            </w:pPr>
            <w:r w:rsidRPr="00A7420B">
              <w:rPr>
                <w:color w:val="0E0E0E"/>
                <w:w w:val="90"/>
                <w:sz w:val="24"/>
                <w:szCs w:val="24"/>
              </w:rPr>
              <w:t>I</w:t>
            </w:r>
          </w:p>
        </w:tc>
        <w:tc>
          <w:tcPr>
            <w:tcW w:w="2502" w:type="dxa"/>
            <w:tcBorders>
              <w:top w:val="single" w:sz="6" w:space="0" w:color="000000"/>
              <w:left w:val="single" w:sz="6" w:space="0" w:color="000000"/>
              <w:bottom w:val="single" w:sz="6" w:space="0" w:color="000000"/>
            </w:tcBorders>
            <w:vAlign w:val="center"/>
          </w:tcPr>
          <w:p w:rsidR="00A7420B" w:rsidRPr="00A7420B" w:rsidRDefault="00A7420B" w:rsidP="00A7420B">
            <w:pPr>
              <w:pStyle w:val="TableParagraph"/>
              <w:spacing w:before="17"/>
              <w:ind w:left="114"/>
              <w:jc w:val="center"/>
              <w:rPr>
                <w:rFonts w:ascii="Times New Roman" w:hAnsi="Times New Roman"/>
                <w:color w:val="0E0E0E"/>
                <w:w w:val="110"/>
                <w:sz w:val="24"/>
                <w:szCs w:val="24"/>
              </w:rPr>
            </w:pPr>
            <w:r w:rsidRPr="00A7420B">
              <w:rPr>
                <w:rFonts w:ascii="Times New Roman" w:hAnsi="Times New Roman"/>
                <w:color w:val="0E0E0E"/>
                <w:w w:val="110"/>
                <w:sz w:val="24"/>
                <w:szCs w:val="24"/>
              </w:rPr>
              <w:t>0</w:t>
            </w:r>
          </w:p>
        </w:tc>
        <w:tc>
          <w:tcPr>
            <w:tcW w:w="2610" w:type="dxa"/>
            <w:tcBorders>
              <w:top w:val="single" w:sz="6" w:space="0" w:color="000000"/>
              <w:bottom w:val="single" w:sz="6" w:space="0" w:color="000000"/>
              <w:right w:val="single" w:sz="6" w:space="0" w:color="000000"/>
            </w:tcBorders>
            <w:vAlign w:val="center"/>
          </w:tcPr>
          <w:p w:rsidR="00A7420B" w:rsidRPr="00A7420B" w:rsidRDefault="00A7420B" w:rsidP="00A7420B">
            <w:pPr>
              <w:pStyle w:val="TableParagraph"/>
              <w:spacing w:before="22"/>
              <w:ind w:left="174" w:right="164"/>
              <w:jc w:val="center"/>
              <w:rPr>
                <w:rFonts w:ascii="Times New Roman" w:hAnsi="Times New Roman"/>
                <w:color w:val="0E0E0E"/>
                <w:w w:val="110"/>
                <w:sz w:val="24"/>
                <w:szCs w:val="24"/>
              </w:rPr>
            </w:pPr>
            <w:r w:rsidRPr="00A7420B">
              <w:rPr>
                <w:rFonts w:ascii="Times New Roman" w:hAnsi="Times New Roman"/>
                <w:color w:val="0E0E0E"/>
                <w:w w:val="110"/>
                <w:sz w:val="24"/>
                <w:szCs w:val="24"/>
              </w:rPr>
              <w:t>1.49</w:t>
            </w:r>
          </w:p>
        </w:tc>
      </w:tr>
    </w:tbl>
    <w:p w:rsidR="003F3A9D" w:rsidRPr="00D3491E" w:rsidRDefault="00A7420B" w:rsidP="00D3491E">
      <w:pPr>
        <w:spacing w:before="37" w:line="350" w:lineRule="auto"/>
        <w:ind w:left="156" w:right="352" w:firstLine="9"/>
        <w:rPr>
          <w:b/>
        </w:rPr>
      </w:pPr>
      <w:r w:rsidRPr="00A7420B">
        <w:rPr>
          <w:b/>
          <w:color w:val="0E0E0E"/>
        </w:rPr>
        <w:t>*The above chart will be used</w:t>
      </w:r>
      <w:r w:rsidR="00D3491E">
        <w:rPr>
          <w:b/>
          <w:color w:val="0E0E0E"/>
        </w:rPr>
        <w:t xml:space="preserve"> when calculating a principal's</w:t>
      </w:r>
      <w:r w:rsidR="00712733">
        <w:rPr>
          <w:b/>
          <w:color w:val="0E0E0E"/>
        </w:rPr>
        <w:t xml:space="preserve"> observation </w:t>
      </w:r>
      <w:r w:rsidR="0081476C">
        <w:rPr>
          <w:b/>
          <w:color w:val="0E0E0E"/>
        </w:rPr>
        <w:t>effectiveness</w:t>
      </w:r>
      <w:r w:rsidRPr="00A7420B">
        <w:rPr>
          <w:b/>
          <w:color w:val="0E0E0E"/>
        </w:rPr>
        <w:t xml:space="preserve"> rating for the </w:t>
      </w:r>
      <w:proofErr w:type="gramStart"/>
      <w:r w:rsidRPr="00A7420B">
        <w:rPr>
          <w:b/>
          <w:color w:val="0E0E0E"/>
        </w:rPr>
        <w:t>overall  effectiveness</w:t>
      </w:r>
      <w:proofErr w:type="gramEnd"/>
      <w:r w:rsidRPr="00A7420B">
        <w:rPr>
          <w:b/>
          <w:color w:val="0E0E0E"/>
        </w:rPr>
        <w:t xml:space="preserve">  rating score.</w:t>
      </w:r>
    </w:p>
    <w:p w:rsidR="00712733" w:rsidRDefault="00712733" w:rsidP="00785628">
      <w:pPr>
        <w:pStyle w:val="ListParagraph"/>
        <w:numPr>
          <w:ilvl w:val="0"/>
          <w:numId w:val="21"/>
        </w:numPr>
        <w:rPr>
          <w:rFonts w:ascii="Arial" w:hAnsi="Arial" w:cs="Arial"/>
          <w:b/>
        </w:rPr>
      </w:pPr>
      <w:r>
        <w:rPr>
          <w:rFonts w:ascii="Arial" w:hAnsi="Arial" w:cs="Arial"/>
          <w:b/>
        </w:rPr>
        <w:lastRenderedPageBreak/>
        <w:t>Student Performance Effectiveness Rating</w:t>
      </w:r>
    </w:p>
    <w:p w:rsidR="00712733" w:rsidRDefault="00712733" w:rsidP="00712733">
      <w:pPr>
        <w:ind w:left="270"/>
        <w:rPr>
          <w:rFonts w:ascii="Arial" w:hAnsi="Arial" w:cs="Arial"/>
        </w:rPr>
      </w:pPr>
    </w:p>
    <w:p w:rsidR="00712733" w:rsidRDefault="00712733" w:rsidP="00712733">
      <w:pPr>
        <w:ind w:left="270"/>
        <w:rPr>
          <w:rFonts w:ascii="Arial" w:hAnsi="Arial" w:cs="Arial"/>
        </w:rPr>
      </w:pPr>
      <w:r>
        <w:rPr>
          <w:rFonts w:ascii="Arial" w:hAnsi="Arial" w:cs="Arial"/>
        </w:rPr>
        <w:t>The student performance effectiveness rating will be determined in one of two ways:</w:t>
      </w:r>
    </w:p>
    <w:p w:rsidR="00712733" w:rsidRDefault="00712733" w:rsidP="00712733">
      <w:pPr>
        <w:pStyle w:val="ListParagraph"/>
        <w:numPr>
          <w:ilvl w:val="0"/>
          <w:numId w:val="29"/>
        </w:numPr>
        <w:rPr>
          <w:rFonts w:ascii="Arial" w:hAnsi="Arial" w:cs="Arial"/>
        </w:rPr>
      </w:pPr>
      <w:r>
        <w:rPr>
          <w:rFonts w:ascii="Arial" w:hAnsi="Arial" w:cs="Arial"/>
        </w:rPr>
        <w:t>The state provided growth score</w:t>
      </w:r>
    </w:p>
    <w:p w:rsidR="00712733" w:rsidRDefault="00712733" w:rsidP="00712733">
      <w:pPr>
        <w:pStyle w:val="ListParagraph"/>
        <w:numPr>
          <w:ilvl w:val="0"/>
          <w:numId w:val="29"/>
        </w:numPr>
        <w:rPr>
          <w:rFonts w:ascii="Arial" w:hAnsi="Arial" w:cs="Arial"/>
        </w:rPr>
      </w:pPr>
      <w:r>
        <w:rPr>
          <w:rFonts w:ascii="Arial" w:hAnsi="Arial" w:cs="Arial"/>
        </w:rPr>
        <w:t>The transition SLO score</w:t>
      </w:r>
    </w:p>
    <w:p w:rsidR="00712733" w:rsidRPr="00712733" w:rsidRDefault="00712733" w:rsidP="00712733">
      <w:pPr>
        <w:pStyle w:val="ListParagraph"/>
        <w:ind w:left="1080"/>
        <w:rPr>
          <w:rFonts w:ascii="Arial" w:hAnsi="Arial" w:cs="Arial"/>
        </w:rPr>
      </w:pPr>
    </w:p>
    <w:p w:rsidR="00E62C49" w:rsidRPr="00785628" w:rsidRDefault="00E62C49" w:rsidP="00785628">
      <w:pPr>
        <w:pStyle w:val="ListParagraph"/>
        <w:numPr>
          <w:ilvl w:val="0"/>
          <w:numId w:val="21"/>
        </w:numPr>
        <w:rPr>
          <w:rFonts w:ascii="Arial" w:hAnsi="Arial" w:cs="Arial"/>
          <w:b/>
        </w:rPr>
      </w:pPr>
      <w:r w:rsidRPr="00785628">
        <w:rPr>
          <w:rFonts w:ascii="Arial" w:hAnsi="Arial" w:cs="Arial"/>
          <w:b/>
        </w:rPr>
        <w:t>Overall Effectiveness Rating</w:t>
      </w:r>
    </w:p>
    <w:p w:rsidR="00E62C49" w:rsidRPr="00A7420B" w:rsidRDefault="00E62C49" w:rsidP="00E62C49">
      <w:pPr>
        <w:pStyle w:val="BodyText"/>
        <w:spacing w:before="3"/>
        <w:rPr>
          <w:sz w:val="24"/>
          <w:szCs w:val="24"/>
        </w:rPr>
      </w:pPr>
    </w:p>
    <w:p w:rsidR="00E62C49" w:rsidRPr="00785628" w:rsidRDefault="00E62C49" w:rsidP="00785628">
      <w:pPr>
        <w:pStyle w:val="BodyText"/>
        <w:spacing w:line="333" w:lineRule="auto"/>
        <w:ind w:left="263" w:right="744"/>
        <w:rPr>
          <w:rFonts w:eastAsiaTheme="minorEastAsia"/>
          <w:sz w:val="24"/>
          <w:szCs w:val="24"/>
        </w:rPr>
      </w:pPr>
      <w:r w:rsidRPr="00A7420B">
        <w:rPr>
          <w:rFonts w:eastAsiaTheme="minorEastAsia"/>
          <w:sz w:val="24"/>
          <w:szCs w:val="24"/>
        </w:rPr>
        <w:t xml:space="preserve">Principals will receive their </w:t>
      </w:r>
      <w:r w:rsidR="00712733">
        <w:rPr>
          <w:rFonts w:eastAsiaTheme="minorEastAsia"/>
          <w:sz w:val="24"/>
          <w:szCs w:val="24"/>
        </w:rPr>
        <w:t xml:space="preserve">overall </w:t>
      </w:r>
      <w:r w:rsidRPr="00A7420B">
        <w:rPr>
          <w:rFonts w:eastAsiaTheme="minorEastAsia"/>
          <w:sz w:val="24"/>
          <w:szCs w:val="24"/>
        </w:rPr>
        <w:t>effectiveness rating no later than the first official workday of the year. The principal and lead evaluator will sign and date to signify review of the principal composite effectiveness score. The overall effectiveness rating will be determined based on the following matrix:</w:t>
      </w:r>
    </w:p>
    <w:p w:rsidR="00E62C49" w:rsidRPr="00A7420B" w:rsidRDefault="00E62C49" w:rsidP="00E62C49">
      <w:pPr>
        <w:pStyle w:val="BodyText"/>
        <w:spacing w:before="8"/>
        <w:rPr>
          <w:sz w:val="24"/>
          <w:szCs w:val="24"/>
        </w:rPr>
      </w:pPr>
    </w:p>
    <w:tbl>
      <w:tblPr>
        <w:tblW w:w="0" w:type="auto"/>
        <w:tblBorders>
          <w:top w:val="single" w:sz="6" w:space="0" w:color="646464"/>
          <w:left w:val="single" w:sz="6" w:space="0" w:color="646464"/>
          <w:bottom w:val="single" w:sz="6" w:space="0" w:color="646464"/>
          <w:right w:val="single" w:sz="6" w:space="0" w:color="646464"/>
          <w:insideH w:val="single" w:sz="6" w:space="0" w:color="646464"/>
          <w:insideV w:val="single" w:sz="6" w:space="0" w:color="646464"/>
        </w:tblBorders>
        <w:tblLayout w:type="fixed"/>
        <w:tblCellMar>
          <w:left w:w="0" w:type="dxa"/>
          <w:right w:w="0" w:type="dxa"/>
        </w:tblCellMar>
        <w:tblLook w:val="01E0"/>
      </w:tblPr>
      <w:tblGrid>
        <w:gridCol w:w="1224"/>
        <w:gridCol w:w="1757"/>
        <w:gridCol w:w="1344"/>
        <w:gridCol w:w="1742"/>
        <w:gridCol w:w="1728"/>
        <w:gridCol w:w="1704"/>
      </w:tblGrid>
      <w:tr w:rsidR="00E62C49" w:rsidRPr="00A7420B" w:rsidTr="00785628">
        <w:trPr>
          <w:trHeight w:hRule="exact" w:val="258"/>
        </w:trPr>
        <w:tc>
          <w:tcPr>
            <w:tcW w:w="9499" w:type="dxa"/>
            <w:gridSpan w:val="6"/>
            <w:tcBorders>
              <w:top w:val="single" w:sz="8" w:space="0" w:color="4F606B"/>
              <w:left w:val="single" w:sz="4" w:space="0" w:color="000000"/>
              <w:bottom w:val="single" w:sz="10" w:space="0" w:color="3F6080"/>
              <w:right w:val="single" w:sz="8" w:space="0" w:color="57606B"/>
            </w:tcBorders>
          </w:tcPr>
          <w:p w:rsidR="00E62C49" w:rsidRPr="00A7420B" w:rsidRDefault="00712733" w:rsidP="00712733">
            <w:pPr>
              <w:pStyle w:val="BodyText"/>
              <w:ind w:right="3491"/>
              <w:jc w:val="center"/>
              <w:rPr>
                <w:rFonts w:ascii="Times New Roman" w:hAnsi="Times New Roman"/>
                <w:sz w:val="24"/>
                <w:szCs w:val="24"/>
              </w:rPr>
            </w:pPr>
            <w:r>
              <w:rPr>
                <w:b/>
                <w:color w:val="0F0F11"/>
                <w:w w:val="105"/>
                <w:sz w:val="24"/>
                <w:szCs w:val="24"/>
              </w:rPr>
              <w:t xml:space="preserve">              Overall Observation Effectiveness Rating Effectiveness </w:t>
            </w:r>
            <w:proofErr w:type="spellStart"/>
            <w:r>
              <w:rPr>
                <w:b/>
                <w:color w:val="0F0F11"/>
                <w:w w:val="105"/>
                <w:sz w:val="24"/>
                <w:szCs w:val="24"/>
              </w:rPr>
              <w:t>Rati</w:t>
            </w:r>
            <w:r w:rsidR="00E62C49" w:rsidRPr="00A7420B">
              <w:rPr>
                <w:b/>
                <w:color w:val="0F0F11"/>
                <w:w w:val="105"/>
                <w:sz w:val="24"/>
                <w:szCs w:val="24"/>
              </w:rPr>
              <w:t>g</w:t>
            </w:r>
            <w:proofErr w:type="spellEnd"/>
          </w:p>
        </w:tc>
      </w:tr>
      <w:tr w:rsidR="00E62C49" w:rsidRPr="00A7420B" w:rsidTr="00785628">
        <w:trPr>
          <w:trHeight w:hRule="exact" w:val="731"/>
        </w:trPr>
        <w:tc>
          <w:tcPr>
            <w:tcW w:w="1224" w:type="dxa"/>
            <w:vMerge w:val="restart"/>
            <w:tcBorders>
              <w:top w:val="single" w:sz="10" w:space="0" w:color="3F6080"/>
              <w:left w:val="single" w:sz="8" w:space="0" w:color="485B6B"/>
              <w:right w:val="single" w:sz="8" w:space="0" w:color="445470"/>
            </w:tcBorders>
            <w:vAlign w:val="center"/>
          </w:tcPr>
          <w:p w:rsidR="00E62C49" w:rsidRPr="00A7420B" w:rsidRDefault="00E62C49" w:rsidP="00E62C49">
            <w:pPr>
              <w:pStyle w:val="TableParagraph"/>
              <w:spacing w:line="155" w:lineRule="exact"/>
              <w:ind w:left="0"/>
              <w:jc w:val="center"/>
              <w:rPr>
                <w:rFonts w:ascii="Times New Roman" w:hAnsi="Times New Roman"/>
                <w:b/>
                <w:w w:val="90"/>
                <w:sz w:val="24"/>
                <w:szCs w:val="24"/>
              </w:rPr>
            </w:pPr>
            <w:r w:rsidRPr="00A7420B">
              <w:rPr>
                <w:rFonts w:ascii="Times New Roman" w:hAnsi="Times New Roman"/>
                <w:b/>
                <w:w w:val="90"/>
                <w:sz w:val="24"/>
                <w:szCs w:val="24"/>
              </w:rPr>
              <w:t>Student</w:t>
            </w:r>
          </w:p>
          <w:p w:rsidR="00E62C49" w:rsidRPr="00A7420B" w:rsidRDefault="00E62C49" w:rsidP="00E62C49">
            <w:pPr>
              <w:pStyle w:val="TableParagraph"/>
              <w:spacing w:line="155" w:lineRule="exact"/>
              <w:ind w:left="0"/>
              <w:jc w:val="center"/>
              <w:rPr>
                <w:rFonts w:ascii="Times New Roman" w:hAnsi="Times New Roman"/>
                <w:b/>
                <w:w w:val="90"/>
                <w:sz w:val="24"/>
                <w:szCs w:val="24"/>
              </w:rPr>
            </w:pPr>
            <w:r w:rsidRPr="00A7420B">
              <w:rPr>
                <w:rFonts w:ascii="Times New Roman" w:hAnsi="Times New Roman"/>
                <w:b/>
                <w:w w:val="90"/>
                <w:sz w:val="24"/>
                <w:szCs w:val="24"/>
              </w:rPr>
              <w:t xml:space="preserve"> </w:t>
            </w:r>
          </w:p>
          <w:p w:rsidR="00E62C49" w:rsidRPr="00A7420B" w:rsidRDefault="00E62C49" w:rsidP="00E62C49">
            <w:pPr>
              <w:pStyle w:val="TableParagraph"/>
              <w:spacing w:line="155" w:lineRule="exact"/>
              <w:ind w:left="0"/>
              <w:jc w:val="center"/>
              <w:rPr>
                <w:rFonts w:ascii="Times New Roman" w:hAnsi="Times New Roman"/>
                <w:b/>
                <w:w w:val="90"/>
                <w:sz w:val="24"/>
                <w:szCs w:val="24"/>
              </w:rPr>
            </w:pPr>
            <w:r w:rsidRPr="00A7420B">
              <w:rPr>
                <w:rFonts w:ascii="Times New Roman" w:hAnsi="Times New Roman"/>
                <w:b/>
                <w:w w:val="90"/>
                <w:sz w:val="24"/>
                <w:szCs w:val="24"/>
              </w:rPr>
              <w:t>Performance</w:t>
            </w:r>
          </w:p>
          <w:p w:rsidR="00E62C49" w:rsidRPr="00A7420B" w:rsidRDefault="00E62C49" w:rsidP="00E62C49">
            <w:pPr>
              <w:pStyle w:val="TableParagraph"/>
              <w:spacing w:line="155" w:lineRule="exact"/>
              <w:ind w:left="0"/>
              <w:jc w:val="center"/>
              <w:rPr>
                <w:rFonts w:ascii="Times New Roman" w:hAnsi="Times New Roman"/>
                <w:b/>
                <w:w w:val="90"/>
                <w:sz w:val="24"/>
                <w:szCs w:val="24"/>
              </w:rPr>
            </w:pPr>
          </w:p>
          <w:p w:rsidR="00E62C49" w:rsidRPr="00A7420B" w:rsidRDefault="00E62C49" w:rsidP="00E62C49">
            <w:pPr>
              <w:pStyle w:val="TableParagraph"/>
              <w:spacing w:line="155" w:lineRule="exact"/>
              <w:ind w:left="0"/>
              <w:jc w:val="center"/>
              <w:rPr>
                <w:rFonts w:ascii="Times New Roman" w:hAnsi="Times New Roman"/>
                <w:b/>
                <w:w w:val="90"/>
                <w:sz w:val="24"/>
                <w:szCs w:val="24"/>
              </w:rPr>
            </w:pPr>
            <w:r w:rsidRPr="00A7420B">
              <w:rPr>
                <w:rFonts w:ascii="Times New Roman" w:hAnsi="Times New Roman"/>
                <w:b/>
                <w:w w:val="90"/>
                <w:sz w:val="24"/>
                <w:szCs w:val="24"/>
              </w:rPr>
              <w:t xml:space="preserve"> Effectiveness</w:t>
            </w:r>
          </w:p>
          <w:p w:rsidR="00E62C49" w:rsidRPr="00A7420B" w:rsidRDefault="00E62C49" w:rsidP="00E62C49">
            <w:pPr>
              <w:pStyle w:val="TableParagraph"/>
              <w:spacing w:line="155" w:lineRule="exact"/>
              <w:ind w:left="0"/>
              <w:jc w:val="center"/>
              <w:rPr>
                <w:rFonts w:ascii="Times New Roman" w:hAnsi="Times New Roman"/>
                <w:b/>
                <w:w w:val="90"/>
                <w:sz w:val="24"/>
                <w:szCs w:val="24"/>
              </w:rPr>
            </w:pPr>
          </w:p>
          <w:p w:rsidR="00E62C49" w:rsidRPr="00A7420B" w:rsidRDefault="00E62C49" w:rsidP="00E62C49">
            <w:pPr>
              <w:pStyle w:val="TableParagraph"/>
              <w:spacing w:line="155" w:lineRule="exact"/>
              <w:ind w:left="0"/>
              <w:jc w:val="center"/>
              <w:rPr>
                <w:sz w:val="24"/>
                <w:szCs w:val="24"/>
              </w:rPr>
            </w:pPr>
            <w:r w:rsidRPr="00A7420B">
              <w:rPr>
                <w:rFonts w:ascii="Times New Roman" w:hAnsi="Times New Roman"/>
                <w:b/>
                <w:w w:val="90"/>
                <w:sz w:val="24"/>
                <w:szCs w:val="24"/>
              </w:rPr>
              <w:t xml:space="preserve"> Rating</w:t>
            </w:r>
          </w:p>
        </w:tc>
        <w:tc>
          <w:tcPr>
            <w:tcW w:w="1757" w:type="dxa"/>
            <w:tcBorders>
              <w:top w:val="single" w:sz="10" w:space="0" w:color="3F6080"/>
              <w:left w:val="single" w:sz="8" w:space="0" w:color="3F577C"/>
              <w:bottom w:val="single" w:sz="6" w:space="0" w:color="676764"/>
              <w:right w:val="single" w:sz="8" w:space="0" w:color="606060"/>
            </w:tcBorders>
          </w:tcPr>
          <w:p w:rsidR="00E62C49" w:rsidRPr="00A7420B" w:rsidRDefault="00E62C49" w:rsidP="00E62C49"/>
        </w:tc>
        <w:tc>
          <w:tcPr>
            <w:tcW w:w="1344" w:type="dxa"/>
            <w:tcBorders>
              <w:top w:val="single" w:sz="10" w:space="0" w:color="3F6080"/>
              <w:left w:val="single" w:sz="8" w:space="0" w:color="606060"/>
              <w:bottom w:val="single" w:sz="6" w:space="0" w:color="676764"/>
              <w:right w:val="single" w:sz="8" w:space="0" w:color="606464"/>
            </w:tcBorders>
          </w:tcPr>
          <w:p w:rsidR="00E62C49" w:rsidRPr="00A7420B" w:rsidRDefault="00E62C49" w:rsidP="00E62C49">
            <w:pPr>
              <w:pStyle w:val="TableParagraph"/>
              <w:spacing w:before="33" w:line="333" w:lineRule="auto"/>
              <w:ind w:left="390" w:firstLine="124"/>
              <w:rPr>
                <w:sz w:val="24"/>
                <w:szCs w:val="24"/>
              </w:rPr>
            </w:pPr>
            <w:r w:rsidRPr="00A7420B">
              <w:rPr>
                <w:color w:val="0F0F11"/>
                <w:w w:val="105"/>
                <w:sz w:val="24"/>
                <w:szCs w:val="24"/>
              </w:rPr>
              <w:t xml:space="preserve">Highly </w:t>
            </w:r>
            <w:r w:rsidRPr="00A7420B">
              <w:rPr>
                <w:color w:val="0F0F11"/>
                <w:sz w:val="24"/>
                <w:szCs w:val="24"/>
              </w:rPr>
              <w:t>Effective</w:t>
            </w:r>
          </w:p>
        </w:tc>
        <w:tc>
          <w:tcPr>
            <w:tcW w:w="1742" w:type="dxa"/>
            <w:tcBorders>
              <w:top w:val="single" w:sz="10" w:space="0" w:color="3F6080"/>
              <w:left w:val="single" w:sz="8" w:space="0" w:color="606464"/>
              <w:bottom w:val="single" w:sz="4" w:space="0" w:color="3B3B3B"/>
              <w:right w:val="single" w:sz="6" w:space="0" w:color="5B5B5B"/>
            </w:tcBorders>
          </w:tcPr>
          <w:p w:rsidR="00E62C49" w:rsidRPr="00A7420B" w:rsidRDefault="00E62C49" w:rsidP="00E62C49">
            <w:pPr>
              <w:pStyle w:val="TableParagraph"/>
              <w:spacing w:before="28"/>
              <w:ind w:left="372" w:right="328"/>
              <w:jc w:val="center"/>
              <w:rPr>
                <w:sz w:val="24"/>
                <w:szCs w:val="24"/>
              </w:rPr>
            </w:pPr>
            <w:r w:rsidRPr="00A7420B">
              <w:rPr>
                <w:color w:val="0F0F11"/>
                <w:w w:val="105"/>
                <w:sz w:val="24"/>
                <w:szCs w:val="24"/>
              </w:rPr>
              <w:t>Effective</w:t>
            </w:r>
          </w:p>
        </w:tc>
        <w:tc>
          <w:tcPr>
            <w:tcW w:w="1728" w:type="dxa"/>
            <w:tcBorders>
              <w:top w:val="single" w:sz="10" w:space="0" w:color="3F6080"/>
              <w:left w:val="single" w:sz="6" w:space="0" w:color="5B5B5B"/>
              <w:bottom w:val="single" w:sz="6" w:space="0" w:color="606057"/>
              <w:right w:val="single" w:sz="8" w:space="0" w:color="676767"/>
            </w:tcBorders>
          </w:tcPr>
          <w:p w:rsidR="00E62C49" w:rsidRPr="00A7420B" w:rsidRDefault="00E62C49" w:rsidP="00E62C49">
            <w:pPr>
              <w:pStyle w:val="TableParagraph"/>
              <w:spacing w:before="28"/>
              <w:ind w:left="245" w:right="204"/>
              <w:jc w:val="center"/>
              <w:rPr>
                <w:sz w:val="24"/>
                <w:szCs w:val="24"/>
              </w:rPr>
            </w:pPr>
            <w:r w:rsidRPr="00A7420B">
              <w:rPr>
                <w:color w:val="0F0F11"/>
                <w:w w:val="105"/>
                <w:sz w:val="24"/>
                <w:szCs w:val="24"/>
              </w:rPr>
              <w:t>Developing</w:t>
            </w:r>
          </w:p>
        </w:tc>
        <w:tc>
          <w:tcPr>
            <w:tcW w:w="1704" w:type="dxa"/>
            <w:tcBorders>
              <w:top w:val="single" w:sz="10" w:space="0" w:color="3F6080"/>
              <w:left w:val="single" w:sz="8" w:space="0" w:color="676767"/>
              <w:bottom w:val="single" w:sz="6" w:space="0" w:color="606057"/>
              <w:right w:val="single" w:sz="8" w:space="0" w:color="57606B"/>
            </w:tcBorders>
          </w:tcPr>
          <w:p w:rsidR="00E62C49" w:rsidRPr="00A7420B" w:rsidRDefault="00E62C49" w:rsidP="00E62C49">
            <w:pPr>
              <w:pStyle w:val="TableParagraph"/>
              <w:spacing w:before="33"/>
              <w:ind w:left="276" w:right="259"/>
              <w:jc w:val="center"/>
              <w:rPr>
                <w:sz w:val="24"/>
                <w:szCs w:val="24"/>
              </w:rPr>
            </w:pPr>
            <w:r w:rsidRPr="00A7420B">
              <w:rPr>
                <w:color w:val="0F0F11"/>
                <w:w w:val="105"/>
                <w:sz w:val="24"/>
                <w:szCs w:val="24"/>
              </w:rPr>
              <w:t>Ineffective</w:t>
            </w:r>
          </w:p>
        </w:tc>
      </w:tr>
      <w:tr w:rsidR="00E62C49" w:rsidRPr="00A7420B" w:rsidTr="00785628">
        <w:trPr>
          <w:trHeight w:hRule="exact" w:val="721"/>
        </w:trPr>
        <w:tc>
          <w:tcPr>
            <w:tcW w:w="1224" w:type="dxa"/>
            <w:vMerge/>
            <w:tcBorders>
              <w:left w:val="single" w:sz="8" w:space="0" w:color="485B6B"/>
              <w:right w:val="single" w:sz="8" w:space="0" w:color="445470"/>
            </w:tcBorders>
          </w:tcPr>
          <w:p w:rsidR="00E62C49" w:rsidRPr="00A7420B" w:rsidRDefault="00E62C49" w:rsidP="00E62C49"/>
        </w:tc>
        <w:tc>
          <w:tcPr>
            <w:tcW w:w="1757" w:type="dxa"/>
            <w:tcBorders>
              <w:top w:val="single" w:sz="6" w:space="0" w:color="676764"/>
              <w:left w:val="single" w:sz="8" w:space="0" w:color="3F577C"/>
              <w:right w:val="single" w:sz="8" w:space="0" w:color="606060"/>
            </w:tcBorders>
            <w:vAlign w:val="center"/>
          </w:tcPr>
          <w:p w:rsidR="00E62C49" w:rsidRPr="00A7420B" w:rsidRDefault="00E62C49" w:rsidP="00785628">
            <w:pPr>
              <w:pStyle w:val="TableParagraph"/>
              <w:spacing w:before="26" w:line="333" w:lineRule="auto"/>
              <w:ind w:left="398" w:firstLine="124"/>
              <w:rPr>
                <w:sz w:val="24"/>
                <w:szCs w:val="24"/>
              </w:rPr>
            </w:pPr>
            <w:r w:rsidRPr="00A7420B">
              <w:rPr>
                <w:color w:val="0F0F11"/>
                <w:sz w:val="24"/>
                <w:szCs w:val="24"/>
              </w:rPr>
              <w:t>Highly Effective</w:t>
            </w:r>
          </w:p>
        </w:tc>
        <w:tc>
          <w:tcPr>
            <w:tcW w:w="1344" w:type="dxa"/>
            <w:tcBorders>
              <w:top w:val="single" w:sz="6" w:space="0" w:color="676764"/>
              <w:left w:val="single" w:sz="8" w:space="0" w:color="606060"/>
              <w:right w:val="single" w:sz="6" w:space="0" w:color="606060"/>
            </w:tcBorders>
          </w:tcPr>
          <w:p w:rsidR="00E62C49" w:rsidRPr="00A7420B" w:rsidRDefault="00E62C49" w:rsidP="00E62C49">
            <w:pPr>
              <w:pStyle w:val="TableParagraph"/>
              <w:spacing w:before="30"/>
              <w:ind w:left="40"/>
              <w:jc w:val="center"/>
              <w:rPr>
                <w:sz w:val="24"/>
                <w:szCs w:val="24"/>
              </w:rPr>
            </w:pPr>
            <w:r w:rsidRPr="00A7420B">
              <w:rPr>
                <w:color w:val="0F0F11"/>
                <w:w w:val="95"/>
                <w:sz w:val="24"/>
                <w:szCs w:val="24"/>
              </w:rPr>
              <w:t>H</w:t>
            </w:r>
          </w:p>
        </w:tc>
        <w:tc>
          <w:tcPr>
            <w:tcW w:w="1742" w:type="dxa"/>
            <w:tcBorders>
              <w:top w:val="single" w:sz="4" w:space="0" w:color="3B3B3B"/>
              <w:left w:val="single" w:sz="6" w:space="0" w:color="606060"/>
              <w:right w:val="single" w:sz="6" w:space="0" w:color="5B5B5B"/>
            </w:tcBorders>
          </w:tcPr>
          <w:p w:rsidR="00E62C49" w:rsidRPr="00A7420B" w:rsidRDefault="00E62C49" w:rsidP="00E62C49">
            <w:pPr>
              <w:pStyle w:val="TableParagraph"/>
              <w:spacing w:before="33"/>
              <w:ind w:left="44"/>
              <w:jc w:val="center"/>
              <w:rPr>
                <w:sz w:val="24"/>
                <w:szCs w:val="24"/>
              </w:rPr>
            </w:pPr>
            <w:r w:rsidRPr="00A7420B">
              <w:rPr>
                <w:color w:val="0F0F11"/>
                <w:w w:val="95"/>
                <w:sz w:val="24"/>
                <w:szCs w:val="24"/>
              </w:rPr>
              <w:t>H</w:t>
            </w:r>
          </w:p>
        </w:tc>
        <w:tc>
          <w:tcPr>
            <w:tcW w:w="1728" w:type="dxa"/>
            <w:tcBorders>
              <w:top w:val="single" w:sz="6" w:space="0" w:color="606057"/>
              <w:left w:val="single" w:sz="6" w:space="0" w:color="5B5B5B"/>
              <w:bottom w:val="single" w:sz="8" w:space="0" w:color="777777"/>
              <w:right w:val="single" w:sz="8" w:space="0" w:color="676767"/>
            </w:tcBorders>
          </w:tcPr>
          <w:p w:rsidR="00E62C49" w:rsidRPr="00A7420B" w:rsidRDefault="00E62C49" w:rsidP="00E62C49">
            <w:pPr>
              <w:pStyle w:val="TableParagraph"/>
              <w:spacing w:before="30"/>
              <w:ind w:left="36"/>
              <w:jc w:val="center"/>
              <w:rPr>
                <w:sz w:val="24"/>
                <w:szCs w:val="24"/>
              </w:rPr>
            </w:pPr>
            <w:r w:rsidRPr="00A7420B">
              <w:rPr>
                <w:color w:val="0F0F11"/>
                <w:w w:val="78"/>
                <w:sz w:val="24"/>
                <w:szCs w:val="24"/>
              </w:rPr>
              <w:t>E</w:t>
            </w:r>
          </w:p>
        </w:tc>
        <w:tc>
          <w:tcPr>
            <w:tcW w:w="1704" w:type="dxa"/>
            <w:tcBorders>
              <w:top w:val="single" w:sz="6" w:space="0" w:color="606057"/>
              <w:left w:val="single" w:sz="8" w:space="0" w:color="676767"/>
              <w:bottom w:val="single" w:sz="8" w:space="0" w:color="777777"/>
              <w:right w:val="single" w:sz="8" w:space="0" w:color="707070"/>
            </w:tcBorders>
          </w:tcPr>
          <w:p w:rsidR="00E62C49" w:rsidRPr="00A7420B" w:rsidRDefault="00E62C49" w:rsidP="00E62C49">
            <w:pPr>
              <w:pStyle w:val="TableParagraph"/>
              <w:spacing w:before="30"/>
              <w:ind w:left="18"/>
              <w:jc w:val="center"/>
              <w:rPr>
                <w:sz w:val="24"/>
                <w:szCs w:val="24"/>
              </w:rPr>
            </w:pPr>
            <w:r w:rsidRPr="00A7420B">
              <w:rPr>
                <w:color w:val="0F0F11"/>
                <w:w w:val="93"/>
                <w:sz w:val="24"/>
                <w:szCs w:val="24"/>
              </w:rPr>
              <w:t>D</w:t>
            </w:r>
          </w:p>
        </w:tc>
      </w:tr>
      <w:tr w:rsidR="00E62C49" w:rsidRPr="00A7420B" w:rsidTr="00785628">
        <w:trPr>
          <w:trHeight w:hRule="exact" w:val="612"/>
        </w:trPr>
        <w:tc>
          <w:tcPr>
            <w:tcW w:w="1224" w:type="dxa"/>
            <w:vMerge/>
            <w:tcBorders>
              <w:left w:val="single" w:sz="8" w:space="0" w:color="485B6B"/>
              <w:right w:val="single" w:sz="8" w:space="0" w:color="445470"/>
            </w:tcBorders>
          </w:tcPr>
          <w:p w:rsidR="00E62C49" w:rsidRPr="00A7420B" w:rsidRDefault="00E62C49" w:rsidP="00E62C49"/>
        </w:tc>
        <w:tc>
          <w:tcPr>
            <w:tcW w:w="1757" w:type="dxa"/>
            <w:tcBorders>
              <w:left w:val="single" w:sz="8" w:space="0" w:color="3F577C"/>
              <w:bottom w:val="single" w:sz="6" w:space="0" w:color="6B6B6B"/>
              <w:right w:val="single" w:sz="8" w:space="0" w:color="606060"/>
            </w:tcBorders>
            <w:vAlign w:val="center"/>
          </w:tcPr>
          <w:p w:rsidR="00E62C49" w:rsidRPr="00A7420B" w:rsidRDefault="00E62C49" w:rsidP="00785628">
            <w:pPr>
              <w:pStyle w:val="TableParagraph"/>
              <w:spacing w:before="23"/>
              <w:ind w:left="365" w:right="338"/>
              <w:rPr>
                <w:sz w:val="24"/>
                <w:szCs w:val="24"/>
              </w:rPr>
            </w:pPr>
            <w:r w:rsidRPr="00A7420B">
              <w:rPr>
                <w:color w:val="0F0F11"/>
                <w:w w:val="105"/>
                <w:sz w:val="24"/>
                <w:szCs w:val="24"/>
              </w:rPr>
              <w:t>Effective</w:t>
            </w:r>
          </w:p>
        </w:tc>
        <w:tc>
          <w:tcPr>
            <w:tcW w:w="1344" w:type="dxa"/>
            <w:tcBorders>
              <w:left w:val="single" w:sz="8" w:space="0" w:color="606060"/>
              <w:bottom w:val="single" w:sz="6" w:space="0" w:color="6B6B6B"/>
              <w:right w:val="single" w:sz="6" w:space="0" w:color="606060"/>
            </w:tcBorders>
          </w:tcPr>
          <w:p w:rsidR="00E62C49" w:rsidRPr="00A7420B" w:rsidRDefault="00E62C49" w:rsidP="00E62C49">
            <w:pPr>
              <w:pStyle w:val="TableParagraph"/>
              <w:spacing w:before="37"/>
              <w:ind w:left="36"/>
              <w:jc w:val="center"/>
              <w:rPr>
                <w:sz w:val="24"/>
                <w:szCs w:val="24"/>
              </w:rPr>
            </w:pPr>
            <w:r w:rsidRPr="00A7420B">
              <w:rPr>
                <w:color w:val="0F0F11"/>
                <w:w w:val="104"/>
                <w:sz w:val="24"/>
                <w:szCs w:val="24"/>
              </w:rPr>
              <w:t>H</w:t>
            </w:r>
          </w:p>
        </w:tc>
        <w:tc>
          <w:tcPr>
            <w:tcW w:w="1742" w:type="dxa"/>
            <w:tcBorders>
              <w:left w:val="single" w:sz="6" w:space="0" w:color="606060"/>
              <w:bottom w:val="single" w:sz="4" w:space="0" w:color="484848"/>
              <w:right w:val="single" w:sz="6" w:space="0" w:color="5B5B5B"/>
            </w:tcBorders>
          </w:tcPr>
          <w:p w:rsidR="00E62C49" w:rsidRPr="00A7420B" w:rsidRDefault="00E62C49" w:rsidP="00E62C49">
            <w:pPr>
              <w:pStyle w:val="TableParagraph"/>
              <w:spacing w:before="28"/>
              <w:ind w:left="44"/>
              <w:jc w:val="center"/>
              <w:rPr>
                <w:sz w:val="24"/>
                <w:szCs w:val="24"/>
              </w:rPr>
            </w:pPr>
            <w:r w:rsidRPr="00A7420B">
              <w:rPr>
                <w:color w:val="0F0F11"/>
                <w:w w:val="82"/>
                <w:sz w:val="24"/>
                <w:szCs w:val="24"/>
              </w:rPr>
              <w:t>E</w:t>
            </w:r>
          </w:p>
        </w:tc>
        <w:tc>
          <w:tcPr>
            <w:tcW w:w="1728" w:type="dxa"/>
            <w:tcBorders>
              <w:top w:val="single" w:sz="8" w:space="0" w:color="777777"/>
              <w:left w:val="single" w:sz="6" w:space="0" w:color="5B5B5B"/>
              <w:right w:val="single" w:sz="6" w:space="0" w:color="606060"/>
            </w:tcBorders>
          </w:tcPr>
          <w:p w:rsidR="00E62C49" w:rsidRPr="00A7420B" w:rsidRDefault="00E62C49" w:rsidP="00E62C49">
            <w:pPr>
              <w:pStyle w:val="TableParagraph"/>
              <w:spacing w:before="21"/>
              <w:ind w:left="31"/>
              <w:jc w:val="center"/>
              <w:rPr>
                <w:sz w:val="24"/>
                <w:szCs w:val="24"/>
              </w:rPr>
            </w:pPr>
            <w:r w:rsidRPr="00A7420B">
              <w:rPr>
                <w:color w:val="0F0F11"/>
                <w:w w:val="79"/>
                <w:sz w:val="24"/>
                <w:szCs w:val="24"/>
              </w:rPr>
              <w:t>E</w:t>
            </w:r>
          </w:p>
        </w:tc>
        <w:tc>
          <w:tcPr>
            <w:tcW w:w="1704" w:type="dxa"/>
            <w:tcBorders>
              <w:top w:val="single" w:sz="8" w:space="0" w:color="777777"/>
              <w:left w:val="single" w:sz="6" w:space="0" w:color="606060"/>
              <w:right w:val="single" w:sz="8" w:space="0" w:color="5B5B5B"/>
            </w:tcBorders>
          </w:tcPr>
          <w:p w:rsidR="00E62C49" w:rsidRPr="00A7420B" w:rsidRDefault="00E62C49" w:rsidP="00E62C49">
            <w:pPr>
              <w:pStyle w:val="TableParagraph"/>
              <w:spacing w:before="30"/>
              <w:ind w:left="16"/>
              <w:jc w:val="center"/>
              <w:rPr>
                <w:sz w:val="24"/>
                <w:szCs w:val="24"/>
              </w:rPr>
            </w:pPr>
            <w:r w:rsidRPr="00A7420B">
              <w:rPr>
                <w:color w:val="0F0F11"/>
                <w:w w:val="97"/>
                <w:sz w:val="24"/>
                <w:szCs w:val="24"/>
              </w:rPr>
              <w:t>D</w:t>
            </w:r>
          </w:p>
        </w:tc>
      </w:tr>
      <w:tr w:rsidR="00E62C49" w:rsidRPr="00A7420B" w:rsidTr="00785628">
        <w:trPr>
          <w:trHeight w:hRule="exact" w:val="575"/>
        </w:trPr>
        <w:tc>
          <w:tcPr>
            <w:tcW w:w="1224" w:type="dxa"/>
            <w:vMerge/>
            <w:tcBorders>
              <w:left w:val="single" w:sz="8" w:space="0" w:color="485B6B"/>
              <w:right w:val="single" w:sz="8" w:space="0" w:color="445470"/>
            </w:tcBorders>
          </w:tcPr>
          <w:p w:rsidR="00E62C49" w:rsidRPr="00A7420B" w:rsidRDefault="00E62C49" w:rsidP="00E62C49"/>
        </w:tc>
        <w:tc>
          <w:tcPr>
            <w:tcW w:w="1757" w:type="dxa"/>
            <w:tcBorders>
              <w:top w:val="single" w:sz="6" w:space="0" w:color="6B6B6B"/>
              <w:left w:val="single" w:sz="8" w:space="0" w:color="445470"/>
              <w:bottom w:val="single" w:sz="4" w:space="0" w:color="646470"/>
            </w:tcBorders>
            <w:vAlign w:val="center"/>
          </w:tcPr>
          <w:p w:rsidR="00E62C49" w:rsidRPr="00A7420B" w:rsidRDefault="00E62C49" w:rsidP="00785628">
            <w:pPr>
              <w:pStyle w:val="TableParagraph"/>
              <w:spacing w:before="26"/>
              <w:ind w:left="238" w:right="208"/>
              <w:rPr>
                <w:sz w:val="24"/>
                <w:szCs w:val="24"/>
              </w:rPr>
            </w:pPr>
            <w:r w:rsidRPr="00A7420B">
              <w:rPr>
                <w:color w:val="0F0F11"/>
                <w:w w:val="105"/>
                <w:sz w:val="24"/>
                <w:szCs w:val="24"/>
              </w:rPr>
              <w:t>Developing</w:t>
            </w:r>
          </w:p>
        </w:tc>
        <w:tc>
          <w:tcPr>
            <w:tcW w:w="1344" w:type="dxa"/>
            <w:tcBorders>
              <w:top w:val="single" w:sz="6" w:space="0" w:color="6B6B6B"/>
              <w:bottom w:val="single" w:sz="4" w:space="0" w:color="646470"/>
              <w:right w:val="single" w:sz="6" w:space="0" w:color="606060"/>
            </w:tcBorders>
          </w:tcPr>
          <w:p w:rsidR="00E62C49" w:rsidRPr="00A7420B" w:rsidRDefault="00E62C49" w:rsidP="00E62C49">
            <w:pPr>
              <w:pStyle w:val="TableParagraph"/>
              <w:spacing w:before="30"/>
              <w:ind w:left="26"/>
              <w:jc w:val="center"/>
              <w:rPr>
                <w:sz w:val="24"/>
                <w:szCs w:val="24"/>
              </w:rPr>
            </w:pPr>
            <w:r w:rsidRPr="00A7420B">
              <w:rPr>
                <w:color w:val="0F0F11"/>
                <w:w w:val="78"/>
                <w:sz w:val="24"/>
                <w:szCs w:val="24"/>
              </w:rPr>
              <w:t>E</w:t>
            </w:r>
          </w:p>
        </w:tc>
        <w:tc>
          <w:tcPr>
            <w:tcW w:w="1742" w:type="dxa"/>
            <w:tcBorders>
              <w:top w:val="single" w:sz="4" w:space="0" w:color="484848"/>
              <w:left w:val="single" w:sz="6" w:space="0" w:color="606060"/>
              <w:bottom w:val="single" w:sz="4" w:space="0" w:color="484844"/>
              <w:right w:val="single" w:sz="6" w:space="0" w:color="5B5B5B"/>
            </w:tcBorders>
          </w:tcPr>
          <w:p w:rsidR="00E62C49" w:rsidRPr="00A7420B" w:rsidRDefault="00E62C49" w:rsidP="00E62C49">
            <w:pPr>
              <w:pStyle w:val="TableParagraph"/>
              <w:spacing w:before="33"/>
              <w:ind w:left="38"/>
              <w:jc w:val="center"/>
              <w:rPr>
                <w:sz w:val="24"/>
                <w:szCs w:val="24"/>
              </w:rPr>
            </w:pPr>
            <w:r w:rsidRPr="00A7420B">
              <w:rPr>
                <w:color w:val="0F0F11"/>
                <w:w w:val="78"/>
                <w:sz w:val="24"/>
                <w:szCs w:val="24"/>
              </w:rPr>
              <w:t>E</w:t>
            </w:r>
          </w:p>
        </w:tc>
        <w:tc>
          <w:tcPr>
            <w:tcW w:w="1728" w:type="dxa"/>
            <w:tcBorders>
              <w:left w:val="single" w:sz="6" w:space="0" w:color="5B5B5B"/>
              <w:bottom w:val="single" w:sz="4" w:space="0" w:color="808080"/>
              <w:right w:val="single" w:sz="6" w:space="0" w:color="606060"/>
            </w:tcBorders>
          </w:tcPr>
          <w:p w:rsidR="00E62C49" w:rsidRPr="00A7420B" w:rsidRDefault="00E62C49" w:rsidP="00E62C49">
            <w:pPr>
              <w:pStyle w:val="TableParagraph"/>
              <w:spacing w:before="30"/>
              <w:ind w:left="24"/>
              <w:jc w:val="center"/>
              <w:rPr>
                <w:sz w:val="24"/>
                <w:szCs w:val="24"/>
              </w:rPr>
            </w:pPr>
            <w:r w:rsidRPr="00A7420B">
              <w:rPr>
                <w:color w:val="0F0F11"/>
                <w:w w:val="97"/>
                <w:sz w:val="24"/>
                <w:szCs w:val="24"/>
              </w:rPr>
              <w:t>D</w:t>
            </w:r>
          </w:p>
        </w:tc>
        <w:tc>
          <w:tcPr>
            <w:tcW w:w="1704" w:type="dxa"/>
            <w:tcBorders>
              <w:left w:val="single" w:sz="6" w:space="0" w:color="606060"/>
              <w:bottom w:val="single" w:sz="4" w:space="0" w:color="6B6B6B"/>
              <w:right w:val="single" w:sz="8" w:space="0" w:color="5B5B5B"/>
            </w:tcBorders>
          </w:tcPr>
          <w:p w:rsidR="00E62C49" w:rsidRPr="00A7420B" w:rsidRDefault="00E62C49" w:rsidP="00E62C49">
            <w:pPr>
              <w:pStyle w:val="TableParagraph"/>
              <w:spacing w:before="30"/>
              <w:ind w:left="37"/>
              <w:jc w:val="center"/>
              <w:rPr>
                <w:sz w:val="24"/>
                <w:szCs w:val="24"/>
              </w:rPr>
            </w:pPr>
            <w:r w:rsidRPr="00A7420B">
              <w:rPr>
                <w:color w:val="313131"/>
                <w:w w:val="141"/>
                <w:sz w:val="24"/>
                <w:szCs w:val="24"/>
              </w:rPr>
              <w:t>I</w:t>
            </w:r>
          </w:p>
        </w:tc>
      </w:tr>
      <w:tr w:rsidR="00E62C49" w:rsidRPr="00A7420B" w:rsidTr="00785628">
        <w:trPr>
          <w:trHeight w:hRule="exact" w:val="703"/>
        </w:trPr>
        <w:tc>
          <w:tcPr>
            <w:tcW w:w="1224" w:type="dxa"/>
            <w:vMerge/>
            <w:tcBorders>
              <w:left w:val="single" w:sz="8" w:space="0" w:color="485B6B"/>
              <w:bottom w:val="single" w:sz="8" w:space="0" w:color="546470"/>
              <w:right w:val="single" w:sz="8" w:space="0" w:color="445470"/>
            </w:tcBorders>
          </w:tcPr>
          <w:p w:rsidR="00E62C49" w:rsidRPr="00A7420B" w:rsidRDefault="00E62C49" w:rsidP="00E62C49"/>
        </w:tc>
        <w:tc>
          <w:tcPr>
            <w:tcW w:w="1757" w:type="dxa"/>
            <w:tcBorders>
              <w:top w:val="single" w:sz="4" w:space="0" w:color="646470"/>
              <w:left w:val="single" w:sz="8" w:space="0" w:color="445470"/>
              <w:bottom w:val="single" w:sz="8" w:space="0" w:color="546470"/>
            </w:tcBorders>
            <w:vAlign w:val="center"/>
          </w:tcPr>
          <w:p w:rsidR="00E62C49" w:rsidRPr="00A7420B" w:rsidRDefault="00E62C49" w:rsidP="00785628">
            <w:pPr>
              <w:pStyle w:val="TableParagraph"/>
              <w:spacing w:before="100"/>
              <w:ind w:left="208" w:right="208"/>
              <w:rPr>
                <w:sz w:val="24"/>
                <w:szCs w:val="24"/>
              </w:rPr>
            </w:pPr>
            <w:r w:rsidRPr="00A7420B">
              <w:rPr>
                <w:color w:val="0F0F11"/>
                <w:w w:val="105"/>
                <w:sz w:val="24"/>
                <w:szCs w:val="24"/>
              </w:rPr>
              <w:t>Ineffective</w:t>
            </w:r>
          </w:p>
        </w:tc>
        <w:tc>
          <w:tcPr>
            <w:tcW w:w="1344" w:type="dxa"/>
            <w:tcBorders>
              <w:top w:val="single" w:sz="4" w:space="0" w:color="646470"/>
              <w:bottom w:val="single" w:sz="8" w:space="0" w:color="5B6067"/>
              <w:right w:val="single" w:sz="6" w:space="0" w:color="606060"/>
            </w:tcBorders>
          </w:tcPr>
          <w:p w:rsidR="00E62C49" w:rsidRPr="00A7420B" w:rsidRDefault="00E62C49" w:rsidP="00E62C49">
            <w:pPr>
              <w:pStyle w:val="TableParagraph"/>
              <w:spacing w:before="105"/>
              <w:ind w:left="10"/>
              <w:jc w:val="center"/>
              <w:rPr>
                <w:sz w:val="24"/>
                <w:szCs w:val="24"/>
              </w:rPr>
            </w:pPr>
            <w:r w:rsidRPr="00A7420B">
              <w:rPr>
                <w:color w:val="0F0F11"/>
                <w:w w:val="93"/>
                <w:sz w:val="24"/>
                <w:szCs w:val="24"/>
              </w:rPr>
              <w:t>D</w:t>
            </w:r>
          </w:p>
        </w:tc>
        <w:tc>
          <w:tcPr>
            <w:tcW w:w="1742" w:type="dxa"/>
            <w:tcBorders>
              <w:top w:val="single" w:sz="4" w:space="0" w:color="484844"/>
              <w:left w:val="single" w:sz="6" w:space="0" w:color="606060"/>
              <w:bottom w:val="single" w:sz="4" w:space="0" w:color="3B3B3B"/>
              <w:right w:val="single" w:sz="6" w:space="0" w:color="5B5B5B"/>
            </w:tcBorders>
          </w:tcPr>
          <w:p w:rsidR="00E62C49" w:rsidRPr="00A7420B" w:rsidRDefault="00E62C49" w:rsidP="00E62C49">
            <w:pPr>
              <w:pStyle w:val="TableParagraph"/>
              <w:spacing w:before="105"/>
              <w:ind w:left="22"/>
              <w:jc w:val="center"/>
              <w:rPr>
                <w:sz w:val="24"/>
                <w:szCs w:val="24"/>
              </w:rPr>
            </w:pPr>
            <w:r w:rsidRPr="00A7420B">
              <w:rPr>
                <w:color w:val="0F0F11"/>
                <w:w w:val="93"/>
                <w:sz w:val="24"/>
                <w:szCs w:val="24"/>
              </w:rPr>
              <w:t>D</w:t>
            </w:r>
          </w:p>
        </w:tc>
        <w:tc>
          <w:tcPr>
            <w:tcW w:w="1728" w:type="dxa"/>
            <w:tcBorders>
              <w:top w:val="single" w:sz="4" w:space="0" w:color="808080"/>
              <w:left w:val="single" w:sz="6" w:space="0" w:color="5B5B5B"/>
              <w:right w:val="single" w:sz="6" w:space="0" w:color="606060"/>
            </w:tcBorders>
          </w:tcPr>
          <w:p w:rsidR="00E62C49" w:rsidRPr="00A7420B" w:rsidRDefault="00E62C49" w:rsidP="00E62C49">
            <w:pPr>
              <w:pStyle w:val="TableParagraph"/>
              <w:spacing w:before="105"/>
              <w:ind w:left="44"/>
              <w:jc w:val="center"/>
              <w:rPr>
                <w:sz w:val="24"/>
                <w:szCs w:val="24"/>
              </w:rPr>
            </w:pPr>
            <w:r w:rsidRPr="00A7420B">
              <w:rPr>
                <w:color w:val="313131"/>
                <w:w w:val="141"/>
                <w:sz w:val="24"/>
                <w:szCs w:val="24"/>
              </w:rPr>
              <w:t>I</w:t>
            </w:r>
          </w:p>
        </w:tc>
        <w:tc>
          <w:tcPr>
            <w:tcW w:w="1704" w:type="dxa"/>
            <w:tcBorders>
              <w:top w:val="single" w:sz="4" w:space="0" w:color="6B6B6B"/>
              <w:left w:val="single" w:sz="6" w:space="0" w:color="606060"/>
              <w:right w:val="single" w:sz="8" w:space="0" w:color="707070"/>
            </w:tcBorders>
          </w:tcPr>
          <w:p w:rsidR="00E62C49" w:rsidRPr="00A7420B" w:rsidRDefault="00E62C49" w:rsidP="00E62C49">
            <w:pPr>
              <w:pStyle w:val="TableParagraph"/>
              <w:spacing w:before="105"/>
              <w:ind w:left="23"/>
              <w:jc w:val="center"/>
              <w:rPr>
                <w:sz w:val="24"/>
                <w:szCs w:val="24"/>
              </w:rPr>
            </w:pPr>
            <w:r w:rsidRPr="00A7420B">
              <w:rPr>
                <w:color w:val="0F0F11"/>
                <w:w w:val="117"/>
                <w:sz w:val="24"/>
                <w:szCs w:val="24"/>
              </w:rPr>
              <w:t>I</w:t>
            </w:r>
          </w:p>
        </w:tc>
      </w:tr>
    </w:tbl>
    <w:p w:rsidR="003F3A9D" w:rsidRPr="00A7420B" w:rsidRDefault="003F3A9D" w:rsidP="003F3A9D">
      <w:pPr>
        <w:rPr>
          <w:b/>
          <w:bCs/>
          <w:u w:val="single"/>
        </w:rPr>
      </w:pPr>
    </w:p>
    <w:p w:rsidR="003F3A9D" w:rsidRPr="00A7420B" w:rsidRDefault="003F3A9D" w:rsidP="003F3A9D">
      <w:pPr>
        <w:rPr>
          <w:b/>
          <w:bCs/>
          <w:u w:val="single"/>
        </w:rPr>
      </w:pPr>
    </w:p>
    <w:p w:rsidR="00A44CF3" w:rsidRPr="00A7420B" w:rsidRDefault="00A44CF3" w:rsidP="00785628">
      <w:pPr>
        <w:pStyle w:val="ListParagraph"/>
        <w:numPr>
          <w:ilvl w:val="0"/>
          <w:numId w:val="21"/>
        </w:numPr>
      </w:pPr>
      <w:r w:rsidRPr="00785628">
        <w:rPr>
          <w:b/>
        </w:rPr>
        <w:t>Written Response</w:t>
      </w:r>
      <w:r w:rsidRPr="00A7420B">
        <w:t>:</w:t>
      </w:r>
    </w:p>
    <w:p w:rsidR="00A44CF3" w:rsidRPr="00A7420B" w:rsidRDefault="00A44CF3" w:rsidP="00A44CF3"/>
    <w:p w:rsidR="00A44CF3" w:rsidRPr="00A7420B" w:rsidRDefault="00A44CF3" w:rsidP="00A44CF3">
      <w:r w:rsidRPr="00A7420B">
        <w:t>Each principal has the right to respond to their final evaluation and HEDI rating.  Principals who wish to respond to their score must do so within ten (10) business days.  The written response will be attached to the evaluation and placed in their personnel file.</w:t>
      </w:r>
    </w:p>
    <w:p w:rsidR="000017F3" w:rsidRPr="00A7420B" w:rsidRDefault="000017F3" w:rsidP="00A44CF3">
      <w:pPr>
        <w:spacing w:before="216"/>
        <w:rPr>
          <w:b/>
          <w:spacing w:val="5"/>
          <w:u w:val="single"/>
        </w:rPr>
      </w:pPr>
    </w:p>
    <w:p w:rsidR="00AB7869" w:rsidRPr="00785628" w:rsidRDefault="00AB7869" w:rsidP="006D4A4B">
      <w:pPr>
        <w:pStyle w:val="ListParagraph"/>
        <w:numPr>
          <w:ilvl w:val="0"/>
          <w:numId w:val="21"/>
        </w:numPr>
        <w:rPr>
          <w:b/>
          <w:spacing w:val="1"/>
        </w:rPr>
      </w:pPr>
      <w:r w:rsidRPr="00785628">
        <w:rPr>
          <w:b/>
          <w:spacing w:val="1"/>
        </w:rPr>
        <w:t>Details of Timely and Constructive Feedback Provided to Principals</w:t>
      </w:r>
    </w:p>
    <w:p w:rsidR="0085457A" w:rsidRPr="00A7420B" w:rsidRDefault="0085457A" w:rsidP="0085457A">
      <w:pPr>
        <w:rPr>
          <w:b/>
          <w:spacing w:val="1"/>
          <w:u w:val="single"/>
        </w:rPr>
      </w:pPr>
    </w:p>
    <w:p w:rsidR="0085457A" w:rsidRPr="00A7420B" w:rsidRDefault="0085457A" w:rsidP="0085457A">
      <w:pPr>
        <w:rPr>
          <w:spacing w:val="1"/>
        </w:rPr>
      </w:pPr>
      <w:r w:rsidRPr="00A7420B">
        <w:rPr>
          <w:spacing w:val="1"/>
        </w:rPr>
        <w:t>Quarterly, the superintendent and principal will have a meeting regarding the principal’s individual goals and the rubric dimensions that were observed.  The summative evaluation, including composite effectiveness score, will be provided to the principal by August 1</w:t>
      </w:r>
      <w:r w:rsidRPr="00A7420B">
        <w:rPr>
          <w:spacing w:val="1"/>
          <w:vertAlign w:val="superscript"/>
        </w:rPr>
        <w:t>st</w:t>
      </w:r>
      <w:r w:rsidRPr="00A7420B">
        <w:rPr>
          <w:spacing w:val="1"/>
        </w:rPr>
        <w:t xml:space="preserve"> (if the State score is available).</w:t>
      </w:r>
    </w:p>
    <w:p w:rsidR="00AA0AC3" w:rsidRPr="00A7420B" w:rsidRDefault="00AA0AC3" w:rsidP="00AA0AC3">
      <w:pPr>
        <w:rPr>
          <w:rFonts w:ascii="Garamond" w:hAnsi="Garamond" w:cs="Garamond"/>
          <w:b/>
          <w:spacing w:val="1"/>
          <w:u w:val="single"/>
        </w:rPr>
      </w:pPr>
    </w:p>
    <w:p w:rsidR="00965944" w:rsidRPr="00A7420B" w:rsidRDefault="00AA0AC3" w:rsidP="00A44CF3">
      <w:pPr>
        <w:tabs>
          <w:tab w:val="left" w:pos="9540"/>
        </w:tabs>
        <w:rPr>
          <w:bCs/>
        </w:rPr>
      </w:pPr>
      <w:r w:rsidRPr="00A7420B">
        <w:rPr>
          <w:bCs/>
        </w:rPr>
        <w:lastRenderedPageBreak/>
        <w:t xml:space="preserve">The </w:t>
      </w:r>
      <w:r w:rsidR="00A44CF3" w:rsidRPr="00A7420B">
        <w:rPr>
          <w:bCs/>
        </w:rPr>
        <w:t>D</w:t>
      </w:r>
      <w:r w:rsidRPr="00A7420B">
        <w:rPr>
          <w:bCs/>
        </w:rPr>
        <w:t>istrict will support each principal’s development and ensure that all individuals receive appropriate professional development.  Everyone in the system should focus on the goal of student achievement, as per the APPR regulations.  This will include keeping to the timelines set forth in this document.</w:t>
      </w:r>
    </w:p>
    <w:p w:rsidR="00965944" w:rsidRPr="00A7420B" w:rsidRDefault="00965944" w:rsidP="00AA0AC3">
      <w:pPr>
        <w:rPr>
          <w:rFonts w:ascii="Garamond" w:hAnsi="Garamond" w:cs="Garamond"/>
          <w:b/>
          <w:spacing w:val="1"/>
          <w:u w:val="single"/>
        </w:rPr>
      </w:pPr>
    </w:p>
    <w:p w:rsidR="00AB7869" w:rsidRPr="00D3491E" w:rsidRDefault="00AB7869" w:rsidP="00785628">
      <w:pPr>
        <w:pStyle w:val="ListParagraph"/>
        <w:numPr>
          <w:ilvl w:val="0"/>
          <w:numId w:val="18"/>
        </w:numPr>
        <w:spacing w:before="180"/>
        <w:rPr>
          <w:b/>
          <w:u w:val="single"/>
        </w:rPr>
      </w:pPr>
      <w:r w:rsidRPr="00D3491E">
        <w:rPr>
          <w:b/>
          <w:u w:val="single"/>
        </w:rPr>
        <w:t>Appeals of Annual Professional Performance Reviews</w:t>
      </w:r>
    </w:p>
    <w:p w:rsidR="00545752" w:rsidRDefault="00545752" w:rsidP="00545752">
      <w:pPr>
        <w:spacing w:before="180"/>
        <w:rPr>
          <w:b/>
          <w:u w:val="single"/>
        </w:rPr>
      </w:pPr>
    </w:p>
    <w:p w:rsidR="00067EE7" w:rsidRDefault="00067EE7" w:rsidP="00067EE7">
      <w:pPr>
        <w:pStyle w:val="NormalWeb"/>
        <w:numPr>
          <w:ilvl w:val="0"/>
          <w:numId w:val="30"/>
        </w:numPr>
      </w:pPr>
      <w:r>
        <w:t xml:space="preserve">APPEALS OF INEFFECTIVE AND DEVELOPING RATINGS ONLY </w:t>
      </w:r>
    </w:p>
    <w:p w:rsidR="00067EE7" w:rsidRDefault="00067EE7" w:rsidP="00067EE7">
      <w:pPr>
        <w:pStyle w:val="NormalWeb"/>
      </w:pPr>
      <w:r>
        <w:t xml:space="preserve">Appeals of annual professional performance reviews will be limited to those that rate a principal as Ineffective or Developing only or where compensation decisions are linked to rating categories. </w:t>
      </w:r>
    </w:p>
    <w:p w:rsidR="00067EE7" w:rsidRDefault="00067EE7" w:rsidP="00067EE7">
      <w:pPr>
        <w:pStyle w:val="NormalWeb"/>
        <w:numPr>
          <w:ilvl w:val="0"/>
          <w:numId w:val="30"/>
        </w:numPr>
      </w:pPr>
      <w:r>
        <w:t xml:space="preserve">WHAT MAY BE CHALLENGED IN AN APPEAL </w:t>
      </w:r>
    </w:p>
    <w:p w:rsidR="00067EE7" w:rsidRDefault="00067EE7" w:rsidP="00067EE7">
      <w:pPr>
        <w:pStyle w:val="NormalWeb"/>
      </w:pPr>
      <w:r>
        <w:t xml:space="preserve">Appeal procedures will limit the scope of appeals under Education Law §3012-d to the following subjects: (1) the substance of the annual professional performance review; which shall include in the instance of a principal rated Ineffective on the student performance category but rated Highly Effective on the observation/school visit category based on an anomaly, as determined locally. (2) the school district’s or board of cooperative educational services’ adherence to the standards and methodologies required for such reviews, pursuant to Education Law §3012-d and Subpart 30-3 of Commissioner’s regulations; (3) the adherence to the Commissioner’s regulations, as applicable to such reviews and compliance with any applicable locally negotiated procedures, as required under Education Law §3012-d; and (4) the school district’s or board of cooperative educational services’ issuance and/or implementation of the terms of the principal improvement plan under Education Law §3012-d. </w:t>
      </w:r>
    </w:p>
    <w:p w:rsidR="00067EE7" w:rsidRDefault="00067EE7" w:rsidP="00067EE7">
      <w:pPr>
        <w:pStyle w:val="NormalWeb"/>
        <w:numPr>
          <w:ilvl w:val="0"/>
          <w:numId w:val="30"/>
        </w:numPr>
      </w:pPr>
      <w:r>
        <w:t xml:space="preserve">PROHIBITION AGAINST MORE THAN ONE APPEAL </w:t>
      </w:r>
    </w:p>
    <w:p w:rsidR="00067EE7" w:rsidRDefault="00067EE7" w:rsidP="00067EE7">
      <w:pPr>
        <w:pStyle w:val="NormalWeb"/>
      </w:pPr>
      <w:r>
        <w:t xml:space="preserve">A principal may not file multiple appeals regarding the same performance review or principal improvement plan. All grounds for appeal must be raised with specificity within one appeal. Any grounds not raised at the time the appeal is filed shall be deemed waived. </w:t>
      </w:r>
    </w:p>
    <w:p w:rsidR="00067EE7" w:rsidRDefault="00067EE7" w:rsidP="00067EE7">
      <w:pPr>
        <w:pStyle w:val="NormalWeb"/>
        <w:numPr>
          <w:ilvl w:val="0"/>
          <w:numId w:val="30"/>
        </w:numPr>
      </w:pPr>
      <w:r>
        <w:t xml:space="preserve">BURDEN OF PROOF </w:t>
      </w:r>
    </w:p>
    <w:p w:rsidR="00067EE7" w:rsidRDefault="00067EE7" w:rsidP="00067EE7">
      <w:pPr>
        <w:pStyle w:val="NormalWeb"/>
      </w:pPr>
      <w:r>
        <w:t xml:space="preserve">In an appeal, the principal has the burden of demonstrating a clear legal right to the relief requested and the burden of establishing the facts upon which petitioner seeks relief. </w:t>
      </w:r>
    </w:p>
    <w:p w:rsidR="00067EE7" w:rsidRDefault="00067EE7" w:rsidP="00067EE7">
      <w:pPr>
        <w:pStyle w:val="NormalWeb"/>
        <w:numPr>
          <w:ilvl w:val="0"/>
          <w:numId w:val="30"/>
        </w:numPr>
      </w:pPr>
      <w:r>
        <w:t xml:space="preserve">TIMEFRAME FOR FILING APPEAL </w:t>
      </w:r>
    </w:p>
    <w:p w:rsidR="00067EE7" w:rsidRDefault="00067EE7" w:rsidP="00067EE7">
      <w:pPr>
        <w:pStyle w:val="NormalWeb"/>
      </w:pPr>
      <w:r>
        <w:t xml:space="preserve">All appeals must be submitted in writing no later than 15 calendar days of the date when the principal receives his or her </w:t>
      </w:r>
      <w:r>
        <w:rPr>
          <w:rStyle w:val="scayt-misspell-word"/>
        </w:rPr>
        <w:t>APPR</w:t>
      </w:r>
      <w:r>
        <w:t xml:space="preserve">. If a principal is challenging the issuance of a principal </w:t>
      </w:r>
      <w:r>
        <w:lastRenderedPageBreak/>
        <w:t xml:space="preserve">improvement plan, appeals must be filed with 15 days of issuance of such plan. The failure to file an appeal within these timeframes shall be deemed a waiver of the right to appeal and the appeal shall be deemed abandoned. When filing an appeal, the principal must submit a detailed written description of the specific areas of disagreement over his or her performance review, or the issuance and/or implementation of the terms of his or her improvement plan and any additional documents or materials relevant to the appeal. The performance review and/or improvement plan being challenged must also be submitted with the appeal. Any information not submitted at the time the appeal is filed shall not be considered. </w:t>
      </w:r>
    </w:p>
    <w:p w:rsidR="00067EE7" w:rsidRDefault="00067EE7" w:rsidP="00067EE7">
      <w:pPr>
        <w:pStyle w:val="NormalWeb"/>
        <w:numPr>
          <w:ilvl w:val="0"/>
          <w:numId w:val="30"/>
        </w:numPr>
      </w:pPr>
      <w:r>
        <w:t>TIMEFRAME FOR DISTRICT/</w:t>
      </w:r>
      <w:r>
        <w:rPr>
          <w:rStyle w:val="scayt-misspell-word"/>
        </w:rPr>
        <w:t>BOCES</w:t>
      </w:r>
      <w:r>
        <w:t xml:space="preserve"> RESPONSE </w:t>
      </w:r>
    </w:p>
    <w:p w:rsidR="00067EE7" w:rsidRDefault="00067EE7" w:rsidP="00067EE7">
      <w:pPr>
        <w:pStyle w:val="NormalWeb"/>
      </w:pPr>
      <w:r>
        <w:t>Within 15 calendar days of receipt of an appeal, the school district/</w:t>
      </w:r>
      <w:r>
        <w:rPr>
          <w:rStyle w:val="scayt-misspell-word"/>
        </w:rPr>
        <w:t>BOCES</w:t>
      </w:r>
      <w:r>
        <w:t xml:space="preserve"> staff member(s) who issued the performance review or were or are responsible for either the issuance and/or implementation of the terms of the principal’s improvement plan must submit a detailed written response to the appeal. The response must include any and all additional documents or written materials specific to the point(s) of disagreement that support the school district’s or BOCES’ response and are relevant to the resolution of the appeal. Any such information that is not submitted at the time the response is filed shall not be considered in the deliberations related to the resolution of the appeal. The principal initiating the appeal shall receive a copy of the response filed by the school district/</w:t>
      </w:r>
      <w:r>
        <w:rPr>
          <w:rStyle w:val="scayt-misspell-word"/>
        </w:rPr>
        <w:t>BOCES</w:t>
      </w:r>
      <w:r>
        <w:t>, and any and all additional information submitted with the response, at the same time the school district/</w:t>
      </w:r>
      <w:r>
        <w:rPr>
          <w:rStyle w:val="scayt-misspell-word"/>
        </w:rPr>
        <w:t>BOCES</w:t>
      </w:r>
      <w:r>
        <w:t xml:space="preserve"> files its response. </w:t>
      </w:r>
    </w:p>
    <w:p w:rsidR="00067EE7" w:rsidRDefault="00067EE7" w:rsidP="00067EE7">
      <w:pPr>
        <w:pStyle w:val="NormalWeb"/>
        <w:numPr>
          <w:ilvl w:val="0"/>
          <w:numId w:val="30"/>
        </w:numPr>
      </w:pPr>
      <w:r>
        <w:t xml:space="preserve">DECISION-MAKER ON APPEAL </w:t>
      </w:r>
    </w:p>
    <w:p w:rsidR="00067EE7" w:rsidRDefault="00067EE7" w:rsidP="00067EE7">
      <w:pPr>
        <w:pStyle w:val="NormalWeb"/>
      </w:pPr>
      <w:r>
        <w:t xml:space="preserve">A decision shall be rendered by the superintendent of schools or the superintendent’s designee except that an appeal may not be decided by the same individual who was responsible for making the final rating decision. In such case, the board of education shall appoint another person to decide the appeal. DECISION A written decision on the merits of the appeal shall be rendered no later than 30 calendar days from the date upon which the principal filed his or her appeal. The appeal shall be based on a written record, comprised of the principal’s appeal papers and any documentary evidence accompanying the appeal, as well as the school district/BOCES’ response to the appeal and additional documentary evidence submitted with such papers. Such decision shall be final. The decision shall set forth the reasons and factual basis for each determination on each of the specific issues raised in the principal’s appeal. If the appeal is sustained, the reviewer may set aside a rating if it has been affected by substantial error or defect, modify a rating if it is affected by substantial error or defect or order a new evaluation if procedures have been violated. A copy of the decision shall be provided to the principal and the evaluator or the person responsible for either issuing or implementing the terms of an improvement plan, if that person is different. </w:t>
      </w:r>
    </w:p>
    <w:p w:rsidR="00067EE7" w:rsidRDefault="00067EE7" w:rsidP="00067EE7">
      <w:pPr>
        <w:pStyle w:val="NormalWeb"/>
        <w:numPr>
          <w:ilvl w:val="0"/>
          <w:numId w:val="30"/>
        </w:numPr>
      </w:pPr>
      <w:r>
        <w:t xml:space="preserve">EXCLUSIVITY OF §3012-D APPEAL PROCEDURE </w:t>
      </w:r>
    </w:p>
    <w:p w:rsidR="00067EE7" w:rsidRDefault="00067EE7" w:rsidP="00067EE7">
      <w:pPr>
        <w:pStyle w:val="NormalWeb"/>
      </w:pPr>
      <w:r>
        <w:t xml:space="preserve">The 3012-d appeal procedure shall constitute the exclusive means for initiating, reviewing and resolving any and all challenges and appeals related to a principal performance review and/or </w:t>
      </w:r>
      <w:r>
        <w:lastRenderedPageBreak/>
        <w:t>improvement plan. A principal may not resort to any other contractual grievance procedures for the resolution of challenges and appeals related to a professional performance review and/or improvement plan, except as otherwise authorized by law.</w:t>
      </w:r>
    </w:p>
    <w:p w:rsidR="00067EE7" w:rsidRDefault="00067EE7" w:rsidP="00067EE7">
      <w:pPr>
        <w:pStyle w:val="NormalWeb"/>
      </w:pPr>
    </w:p>
    <w:p w:rsidR="00067EE7" w:rsidRDefault="00067EE7" w:rsidP="00545752">
      <w:pPr>
        <w:spacing w:before="180"/>
        <w:rPr>
          <w:b/>
          <w:u w:val="single"/>
        </w:rPr>
      </w:pPr>
    </w:p>
    <w:p w:rsidR="00067EE7" w:rsidRPr="00A7420B" w:rsidRDefault="00067EE7" w:rsidP="00545752">
      <w:pPr>
        <w:spacing w:before="180"/>
        <w:rPr>
          <w:b/>
          <w:u w:val="single"/>
        </w:rPr>
      </w:pPr>
    </w:p>
    <w:p w:rsidR="00067EE7" w:rsidRPr="00067EE7" w:rsidRDefault="00067EE7" w:rsidP="00067EE7">
      <w:pPr>
        <w:pStyle w:val="ListParagraph"/>
        <w:widowControl/>
        <w:kinsoku/>
        <w:ind w:left="0"/>
        <w:rPr>
          <w:u w:val="single"/>
        </w:rPr>
      </w:pPr>
    </w:p>
    <w:p w:rsidR="00545752" w:rsidRPr="00A7420B" w:rsidRDefault="00545752" w:rsidP="00545752">
      <w:pPr>
        <w:jc w:val="both"/>
      </w:pPr>
    </w:p>
    <w:p w:rsidR="00785628" w:rsidRDefault="00785628" w:rsidP="00785628"/>
    <w:p w:rsidR="007C55D3" w:rsidRPr="00D3491E" w:rsidRDefault="0097561A" w:rsidP="00785628">
      <w:pPr>
        <w:pStyle w:val="ListParagraph"/>
        <w:numPr>
          <w:ilvl w:val="0"/>
          <w:numId w:val="18"/>
        </w:numPr>
        <w:rPr>
          <w:b/>
          <w:u w:val="single"/>
        </w:rPr>
      </w:pPr>
      <w:r w:rsidRPr="00D3491E">
        <w:rPr>
          <w:b/>
          <w:u w:val="single"/>
        </w:rPr>
        <w:t>Principal</w:t>
      </w:r>
      <w:r w:rsidR="007C55D3" w:rsidRPr="00D3491E">
        <w:rPr>
          <w:b/>
          <w:u w:val="single"/>
        </w:rPr>
        <w:t xml:space="preserve"> Improvement Plan</w:t>
      </w:r>
    </w:p>
    <w:p w:rsidR="0097561A" w:rsidRPr="00A7420B" w:rsidRDefault="0097561A" w:rsidP="007C55D3">
      <w:pPr>
        <w:rPr>
          <w:b/>
          <w:u w:val="single"/>
        </w:rPr>
      </w:pPr>
    </w:p>
    <w:p w:rsidR="00215EE1" w:rsidRPr="00A7420B" w:rsidRDefault="007C55D3" w:rsidP="00785628">
      <w:pPr>
        <w:pStyle w:val="CommentText"/>
        <w:rPr>
          <w:sz w:val="24"/>
          <w:szCs w:val="24"/>
        </w:rPr>
      </w:pPr>
      <w:r w:rsidRPr="00A7420B">
        <w:rPr>
          <w:sz w:val="24"/>
          <w:szCs w:val="24"/>
        </w:rPr>
        <w:t xml:space="preserve">The purpose of a </w:t>
      </w:r>
      <w:r w:rsidR="0097561A" w:rsidRPr="00A7420B">
        <w:rPr>
          <w:sz w:val="24"/>
          <w:szCs w:val="24"/>
        </w:rPr>
        <w:t>Principal</w:t>
      </w:r>
      <w:r w:rsidRPr="00A7420B">
        <w:rPr>
          <w:sz w:val="24"/>
          <w:szCs w:val="24"/>
        </w:rPr>
        <w:t xml:space="preserve"> Improvement Plan (</w:t>
      </w:r>
      <w:r w:rsidR="009417E4" w:rsidRPr="00A7420B">
        <w:rPr>
          <w:sz w:val="24"/>
          <w:szCs w:val="24"/>
        </w:rPr>
        <w:t>P</w:t>
      </w:r>
      <w:r w:rsidRPr="00A7420B">
        <w:rPr>
          <w:sz w:val="24"/>
          <w:szCs w:val="24"/>
        </w:rPr>
        <w:t xml:space="preserve">IP) is to provide the </w:t>
      </w:r>
      <w:r w:rsidR="0097561A" w:rsidRPr="00A7420B">
        <w:rPr>
          <w:sz w:val="24"/>
          <w:szCs w:val="24"/>
        </w:rPr>
        <w:t>principal</w:t>
      </w:r>
      <w:r w:rsidRPr="00A7420B">
        <w:rPr>
          <w:sz w:val="24"/>
          <w:szCs w:val="24"/>
        </w:rPr>
        <w:t xml:space="preserve"> with a concrete set of expectations based on evidence collected from the previous school year that attributed to a ranki</w:t>
      </w:r>
      <w:r w:rsidR="00215EE1" w:rsidRPr="00A7420B">
        <w:rPr>
          <w:sz w:val="24"/>
          <w:szCs w:val="24"/>
        </w:rPr>
        <w:t>ng of ineffective or developing, in the total composite rating.  They will then be provided a Principal Improvement Plan.  The plan will contain:  identification of needed areas of improvement, a timeline for achieving improvement, the manner in which improvement will be assessed; and where appropriate, differentiated activities to support improvement in the identified areas.</w:t>
      </w:r>
    </w:p>
    <w:p w:rsidR="007C55D3" w:rsidRPr="00A7420B" w:rsidRDefault="007C55D3" w:rsidP="007C55D3">
      <w:r w:rsidRPr="00A7420B">
        <w:t xml:space="preserve">In order for this process to be successful the </w:t>
      </w:r>
      <w:r w:rsidR="009417E4" w:rsidRPr="00A7420B">
        <w:t>principal</w:t>
      </w:r>
      <w:r w:rsidRPr="00A7420B">
        <w:t xml:space="preserve"> and supervisor must be in partnership and active contributors to the success of the plan.  The plan will provide action steps, timelines, and District supports to build the capacity of </w:t>
      </w:r>
      <w:r w:rsidR="0097561A" w:rsidRPr="00A7420B">
        <w:t>the principal</w:t>
      </w:r>
      <w:r w:rsidR="009417E4" w:rsidRPr="00A7420B">
        <w:t>s</w:t>
      </w:r>
      <w:r w:rsidRPr="00A7420B">
        <w:t xml:space="preserve"> to increase the likelihood of moving </w:t>
      </w:r>
      <w:r w:rsidR="0097561A" w:rsidRPr="00A7420B">
        <w:t>the principal</w:t>
      </w:r>
      <w:r w:rsidRPr="00A7420B">
        <w:t xml:space="preserve"> to the effective realm.</w:t>
      </w:r>
    </w:p>
    <w:p w:rsidR="0097561A" w:rsidRPr="00A7420B" w:rsidRDefault="0097561A" w:rsidP="007C55D3"/>
    <w:p w:rsidR="007C55D3" w:rsidRPr="00A7420B" w:rsidRDefault="007C55D3" w:rsidP="007C55D3">
      <w:r w:rsidRPr="00A7420B">
        <w:t xml:space="preserve">In accordance with the laws and regulations of 3012c any and all </w:t>
      </w:r>
      <w:r w:rsidR="0097561A" w:rsidRPr="00A7420B">
        <w:t>principals</w:t>
      </w:r>
      <w:r w:rsidRPr="00A7420B">
        <w:t xml:space="preserve"> identified as ineffective or developing will be provided an improvement plan.  The following procedure will be followed.</w:t>
      </w:r>
    </w:p>
    <w:p w:rsidR="0097561A" w:rsidRPr="00A7420B" w:rsidRDefault="0097561A" w:rsidP="007C55D3"/>
    <w:p w:rsidR="007C55D3" w:rsidRPr="00A7420B" w:rsidRDefault="007C55D3" w:rsidP="007C55D3">
      <w:pPr>
        <w:widowControl/>
        <w:numPr>
          <w:ilvl w:val="0"/>
          <w:numId w:val="11"/>
        </w:numPr>
        <w:kinsoku/>
      </w:pPr>
      <w:r w:rsidRPr="00A7420B">
        <w:t xml:space="preserve">Upon receipt of the </w:t>
      </w:r>
      <w:r w:rsidR="0097561A" w:rsidRPr="00A7420B">
        <w:t>principal</w:t>
      </w:r>
      <w:r w:rsidRPr="00A7420B">
        <w:t xml:space="preserve">’s annual evaluation rating, those rated ineffective or developing will be notified.   The notification will address the rating and the expectation of scheduling a meeting to discuss the formulation of the </w:t>
      </w:r>
      <w:r w:rsidR="0097561A" w:rsidRPr="00A7420B">
        <w:t>Principal</w:t>
      </w:r>
      <w:r w:rsidRPr="00A7420B">
        <w:t xml:space="preserve"> Improvement Plan (</w:t>
      </w:r>
      <w:r w:rsidR="0097561A" w:rsidRPr="00A7420B">
        <w:t>P</w:t>
      </w:r>
      <w:r w:rsidRPr="00A7420B">
        <w:t>IP) with their supervisor</w:t>
      </w:r>
      <w:r w:rsidR="00215EE1" w:rsidRPr="00A7420B">
        <w:t xml:space="preserve"> (superintendent)</w:t>
      </w:r>
      <w:r w:rsidRPr="00A7420B">
        <w:t xml:space="preserve">.  This meeting to discuss the implementation of the </w:t>
      </w:r>
      <w:r w:rsidR="0097561A" w:rsidRPr="00A7420B">
        <w:t>P</w:t>
      </w:r>
      <w:r w:rsidRPr="00A7420B">
        <w:t>IP must take place within 5</w:t>
      </w:r>
      <w:r w:rsidR="00965944" w:rsidRPr="00A7420B">
        <w:t xml:space="preserve"> </w:t>
      </w:r>
      <w:r w:rsidRPr="00A7420B">
        <w:t xml:space="preserve">days, commencing with the first day </w:t>
      </w:r>
      <w:r w:rsidR="0097561A" w:rsidRPr="00A7420B">
        <w:t>of each school year</w:t>
      </w:r>
      <w:r w:rsidRPr="00A7420B">
        <w:t>.</w:t>
      </w:r>
    </w:p>
    <w:p w:rsidR="007C55D3" w:rsidRPr="00A7420B" w:rsidRDefault="007C55D3" w:rsidP="007C55D3">
      <w:pPr>
        <w:widowControl/>
        <w:numPr>
          <w:ilvl w:val="0"/>
          <w:numId w:val="11"/>
        </w:numPr>
        <w:kinsoku/>
      </w:pPr>
      <w:r w:rsidRPr="00A7420B">
        <w:t>The super</w:t>
      </w:r>
      <w:r w:rsidR="0097561A" w:rsidRPr="00A7420B">
        <w:t>intendent</w:t>
      </w:r>
      <w:r w:rsidRPr="00A7420B">
        <w:t xml:space="preserve">, in collaboration with the </w:t>
      </w:r>
      <w:r w:rsidR="0097561A" w:rsidRPr="00A7420B">
        <w:t>principal</w:t>
      </w:r>
      <w:r w:rsidRPr="00A7420B">
        <w:t xml:space="preserve">, will select no more than three </w:t>
      </w:r>
      <w:r w:rsidR="00965944" w:rsidRPr="00A7420B">
        <w:t>g</w:t>
      </w:r>
      <w:r w:rsidR="009417E4" w:rsidRPr="00A7420B">
        <w:t>oals</w:t>
      </w:r>
      <w:r w:rsidRPr="00A7420B">
        <w:t xml:space="preserve"> to address in the </w:t>
      </w:r>
      <w:r w:rsidR="0097561A" w:rsidRPr="00A7420B">
        <w:t>P</w:t>
      </w:r>
      <w:r w:rsidRPr="00A7420B">
        <w:t>IP.</w:t>
      </w:r>
    </w:p>
    <w:p w:rsidR="007C55D3" w:rsidRPr="00A7420B" w:rsidRDefault="007C55D3" w:rsidP="007C55D3"/>
    <w:p w:rsidR="007C55D3" w:rsidRPr="00A7420B" w:rsidRDefault="007C55D3" w:rsidP="007C55D3">
      <w:pPr>
        <w:widowControl/>
        <w:numPr>
          <w:ilvl w:val="0"/>
          <w:numId w:val="11"/>
        </w:numPr>
        <w:kinsoku/>
      </w:pPr>
      <w:r w:rsidRPr="00A7420B">
        <w:t xml:space="preserve">The plan will include: Critical Attributes Indicating Success, </w:t>
      </w:r>
      <w:r w:rsidR="0097561A" w:rsidRPr="00A7420B">
        <w:t>Principal</w:t>
      </w:r>
      <w:r w:rsidRPr="00A7420B">
        <w:t xml:space="preserve">’s Action Plan, </w:t>
      </w:r>
      <w:r w:rsidR="0097561A" w:rsidRPr="00A7420B">
        <w:t>Superintendent</w:t>
      </w:r>
      <w:r w:rsidRPr="00A7420B">
        <w:t xml:space="preserve"> Responsibilities, Timeline and Elements of Measurement. These will be specific expectations that will, if followed, lead to improvement. (Forms – Appendix D)</w:t>
      </w:r>
    </w:p>
    <w:p w:rsidR="007C55D3" w:rsidRPr="00A7420B" w:rsidRDefault="007C55D3" w:rsidP="007C55D3"/>
    <w:p w:rsidR="007C55D3" w:rsidRPr="00A7420B" w:rsidRDefault="007C55D3" w:rsidP="007C55D3">
      <w:pPr>
        <w:widowControl/>
        <w:numPr>
          <w:ilvl w:val="0"/>
          <w:numId w:val="11"/>
        </w:numPr>
        <w:kinsoku/>
      </w:pPr>
      <w:r w:rsidRPr="00A7420B">
        <w:t xml:space="preserve">The </w:t>
      </w:r>
      <w:r w:rsidR="0097561A" w:rsidRPr="00A7420B">
        <w:t>principal and superintendent</w:t>
      </w:r>
      <w:r w:rsidRPr="00A7420B">
        <w:t xml:space="preserve"> will sign and date the improvement plan.  A copy will be provided to the </w:t>
      </w:r>
      <w:r w:rsidR="009417E4" w:rsidRPr="00A7420B">
        <w:t>principal</w:t>
      </w:r>
      <w:r w:rsidRPr="00A7420B">
        <w:t xml:space="preserve"> with the original signed copy being placed into the </w:t>
      </w:r>
      <w:r w:rsidR="009417E4" w:rsidRPr="00A7420B">
        <w:t>principal</w:t>
      </w:r>
      <w:r w:rsidRPr="00A7420B">
        <w:t>’s personnel file.</w:t>
      </w:r>
    </w:p>
    <w:p w:rsidR="007C55D3" w:rsidRPr="00A7420B" w:rsidRDefault="007C55D3" w:rsidP="007C55D3"/>
    <w:p w:rsidR="007C55D3" w:rsidRPr="00A7420B" w:rsidRDefault="007C55D3" w:rsidP="007C55D3">
      <w:pPr>
        <w:widowControl/>
        <w:numPr>
          <w:ilvl w:val="0"/>
          <w:numId w:val="11"/>
        </w:numPr>
        <w:kinsoku/>
      </w:pPr>
      <w:r w:rsidRPr="00A7420B">
        <w:t xml:space="preserve">By regulation the </w:t>
      </w:r>
      <w:r w:rsidR="0097561A" w:rsidRPr="00A7420B">
        <w:t>P</w:t>
      </w:r>
      <w:r w:rsidRPr="00A7420B">
        <w:t>IP must be signed and implemented within ten (10) school da</w:t>
      </w:r>
      <w:r w:rsidR="00965944" w:rsidRPr="00A7420B">
        <w:t>ys of the following school year o</w:t>
      </w:r>
      <w:r w:rsidRPr="00A7420B">
        <w:t>r as soon as the evaluations are complete including receipt of the State Scores</w:t>
      </w:r>
    </w:p>
    <w:p w:rsidR="00215EE1" w:rsidRPr="00A7420B" w:rsidRDefault="00215EE1" w:rsidP="00215EE1">
      <w:pPr>
        <w:widowControl/>
        <w:kinsoku/>
      </w:pPr>
    </w:p>
    <w:p w:rsidR="00215EE1" w:rsidRPr="00A7420B" w:rsidRDefault="00215EE1" w:rsidP="00215EE1">
      <w:pPr>
        <w:widowControl/>
        <w:numPr>
          <w:ilvl w:val="0"/>
          <w:numId w:val="11"/>
        </w:numPr>
        <w:kinsoku/>
      </w:pPr>
      <w:r w:rsidRPr="00A7420B">
        <w:t xml:space="preserve">Costs associated with the implementation of a </w:t>
      </w:r>
      <w:r w:rsidR="00B52F9B" w:rsidRPr="00A7420B">
        <w:t>P</w:t>
      </w:r>
      <w:r w:rsidRPr="00A7420B">
        <w:t>IP, including but not limited to registration, fees, materials and travel</w:t>
      </w:r>
      <w:r w:rsidRPr="00A7420B">
        <w:rPr>
          <w:i/>
        </w:rPr>
        <w:t xml:space="preserve">, </w:t>
      </w:r>
      <w:r w:rsidRPr="00A7420B">
        <w:t>shall be borne by the District.</w:t>
      </w:r>
    </w:p>
    <w:p w:rsidR="0006621D" w:rsidRPr="00A7420B" w:rsidRDefault="0006621D" w:rsidP="00965944">
      <w:pPr>
        <w:spacing w:before="180"/>
        <w:rPr>
          <w:rFonts w:ascii="Garamond" w:hAnsi="Garamond" w:cs="Garamond"/>
          <w:b/>
          <w:u w:val="single"/>
        </w:rPr>
      </w:pPr>
    </w:p>
    <w:p w:rsidR="00AB7869" w:rsidRDefault="00AB7869" w:rsidP="00785628">
      <w:pPr>
        <w:pStyle w:val="ListParagraph"/>
        <w:numPr>
          <w:ilvl w:val="0"/>
          <w:numId w:val="18"/>
        </w:numPr>
        <w:spacing w:before="216"/>
        <w:rPr>
          <w:b/>
          <w:spacing w:val="2"/>
          <w:u w:val="single"/>
        </w:rPr>
      </w:pPr>
      <w:r w:rsidRPr="00A7420B">
        <w:rPr>
          <w:b/>
          <w:spacing w:val="2"/>
          <w:u w:val="single"/>
        </w:rPr>
        <w:t>Duration and Nature of Training Provided to Evaluators and Lead Evaluators</w:t>
      </w:r>
    </w:p>
    <w:p w:rsidR="00E667F4" w:rsidRDefault="00E667F4" w:rsidP="00E667F4">
      <w:pPr>
        <w:spacing w:before="216"/>
        <w:rPr>
          <w:b/>
          <w:spacing w:val="2"/>
          <w:u w:val="single"/>
        </w:rPr>
      </w:pPr>
    </w:p>
    <w:p w:rsidR="00E667F4" w:rsidRPr="00E667F4" w:rsidRDefault="00E667F4" w:rsidP="00E667F4">
      <w:pPr>
        <w:spacing w:before="216"/>
        <w:rPr>
          <w:b/>
          <w:spacing w:val="2"/>
          <w:u w:val="single"/>
        </w:rPr>
      </w:pPr>
    </w:p>
    <w:p w:rsidR="00AB7869" w:rsidRPr="00A7420B" w:rsidRDefault="00AB7869" w:rsidP="00AB7869">
      <w:pPr>
        <w:numPr>
          <w:ilvl w:val="0"/>
          <w:numId w:val="5"/>
        </w:numPr>
        <w:tabs>
          <w:tab w:val="num" w:pos="432"/>
        </w:tabs>
        <w:spacing w:before="252" w:line="278" w:lineRule="auto"/>
        <w:ind w:right="72"/>
      </w:pPr>
      <w:r w:rsidRPr="00A7420B">
        <w:rPr>
          <w:spacing w:val="1"/>
        </w:rPr>
        <w:t xml:space="preserve">The "lead evaluator" is the administrator who is primarily responsible for a principal's evaluation </w:t>
      </w:r>
      <w:r w:rsidRPr="00A7420B">
        <w:rPr>
          <w:spacing w:val="-3"/>
        </w:rPr>
        <w:t xml:space="preserve">under Chapter 103. The term "evaluator" shall include any administrator who conducts an observation or </w:t>
      </w:r>
      <w:r w:rsidRPr="00A7420B">
        <w:t>evaluation of a principal.</w:t>
      </w:r>
    </w:p>
    <w:p w:rsidR="00E667F4" w:rsidRPr="00E667F4" w:rsidRDefault="00E667F4" w:rsidP="00E667F4">
      <w:pPr>
        <w:numPr>
          <w:ilvl w:val="0"/>
          <w:numId w:val="6"/>
        </w:numPr>
        <w:tabs>
          <w:tab w:val="clear" w:pos="360"/>
          <w:tab w:val="num" w:pos="432"/>
        </w:tabs>
        <w:spacing w:before="288" w:line="278" w:lineRule="auto"/>
        <w:ind w:right="216"/>
        <w:jc w:val="both"/>
      </w:pPr>
      <w:r w:rsidRPr="00E667F4">
        <w:rPr>
          <w:spacing w:val="-3"/>
        </w:rPr>
        <w:t>All evaluators, including lead evaluators, evaluators, and independent evaluators, will be administrators employed by the LaFargeville Central School</w:t>
      </w:r>
      <w:r>
        <w:rPr>
          <w:spacing w:val="-3"/>
        </w:rPr>
        <w:t xml:space="preserve"> District.</w:t>
      </w:r>
    </w:p>
    <w:p w:rsidR="00E667F4" w:rsidRPr="00E667F4" w:rsidRDefault="00E667F4" w:rsidP="00E667F4">
      <w:pPr>
        <w:numPr>
          <w:ilvl w:val="0"/>
          <w:numId w:val="6"/>
        </w:numPr>
        <w:tabs>
          <w:tab w:val="clear" w:pos="360"/>
          <w:tab w:val="num" w:pos="432"/>
        </w:tabs>
        <w:spacing w:before="288" w:line="278" w:lineRule="auto"/>
        <w:ind w:right="216"/>
        <w:jc w:val="both"/>
      </w:pPr>
      <w:r w:rsidRPr="00E667F4">
        <w:rPr>
          <w:spacing w:val="-3"/>
        </w:rPr>
        <w:t>All evaluators will be trained and all lead evaluators will be trained and certified by the Board of Education under the nine</w:t>
      </w:r>
      <w:r>
        <w:t xml:space="preserve"> </w:t>
      </w:r>
      <w:r w:rsidRPr="00E667F4">
        <w:rPr>
          <w:spacing w:val="-3"/>
        </w:rPr>
        <w:t xml:space="preserve">requirements prescribed in §30-3.10 of the Rules of the Board of Regents. </w:t>
      </w:r>
    </w:p>
    <w:p w:rsidR="00E667F4" w:rsidRPr="00E667F4" w:rsidRDefault="00E667F4" w:rsidP="00E667F4">
      <w:pPr>
        <w:numPr>
          <w:ilvl w:val="0"/>
          <w:numId w:val="6"/>
        </w:numPr>
        <w:tabs>
          <w:tab w:val="clear" w:pos="360"/>
          <w:tab w:val="num" w:pos="432"/>
        </w:tabs>
        <w:spacing w:before="288" w:line="278" w:lineRule="auto"/>
        <w:ind w:right="216"/>
        <w:jc w:val="both"/>
      </w:pPr>
      <w:r w:rsidRPr="00E667F4">
        <w:rPr>
          <w:spacing w:val="-3"/>
        </w:rPr>
        <w:t>Impartial independent observers will receive training on the three</w:t>
      </w:r>
      <w:r>
        <w:t xml:space="preserve"> </w:t>
      </w:r>
      <w:r w:rsidRPr="00E667F4">
        <w:rPr>
          <w:spacing w:val="-3"/>
        </w:rPr>
        <w:t xml:space="preserve">requirements prescribed in §30- 3.10(c). </w:t>
      </w:r>
    </w:p>
    <w:p w:rsidR="00955D9E" w:rsidRPr="00955D9E" w:rsidRDefault="00E667F4" w:rsidP="00955D9E">
      <w:pPr>
        <w:numPr>
          <w:ilvl w:val="0"/>
          <w:numId w:val="6"/>
        </w:numPr>
        <w:tabs>
          <w:tab w:val="clear" w:pos="360"/>
          <w:tab w:val="num" w:pos="432"/>
        </w:tabs>
        <w:spacing w:before="288" w:line="278" w:lineRule="auto"/>
        <w:ind w:right="216"/>
        <w:jc w:val="both"/>
      </w:pPr>
      <w:r w:rsidRPr="00E667F4">
        <w:rPr>
          <w:spacing w:val="-3"/>
        </w:rPr>
        <w:t>Refresher training for all evaluators, lead evaluators, and independent evaluators will primarily be conducted</w:t>
      </w:r>
      <w:r>
        <w:t xml:space="preserve"> </w:t>
      </w:r>
      <w:r w:rsidRPr="00E667F4">
        <w:rPr>
          <w:spacing w:val="-3"/>
        </w:rPr>
        <w:t>by our local BOCES and will consist of a minimum of one school day in the summer months or early fall (future first time evaluators will receive a</w:t>
      </w:r>
      <w:r w:rsidR="00955D9E">
        <w:t xml:space="preserve"> </w:t>
      </w:r>
      <w:r w:rsidRPr="00955D9E">
        <w:rPr>
          <w:spacing w:val="-3"/>
        </w:rPr>
        <w:t xml:space="preserve">minimum of 3 days of ongoing training throughout the school year provided by a combination of BOCES and district trainings). </w:t>
      </w:r>
    </w:p>
    <w:p w:rsidR="00955D9E" w:rsidRPr="00955D9E" w:rsidRDefault="00E667F4" w:rsidP="00955D9E">
      <w:pPr>
        <w:numPr>
          <w:ilvl w:val="0"/>
          <w:numId w:val="6"/>
        </w:numPr>
        <w:tabs>
          <w:tab w:val="clear" w:pos="360"/>
          <w:tab w:val="num" w:pos="432"/>
        </w:tabs>
        <w:spacing w:before="288" w:line="278" w:lineRule="auto"/>
        <w:ind w:right="216"/>
        <w:jc w:val="both"/>
      </w:pPr>
      <w:r w:rsidRPr="00955D9E">
        <w:rPr>
          <w:spacing w:val="-3"/>
        </w:rPr>
        <w:t>Inter-rater reliability</w:t>
      </w:r>
      <w:r w:rsidR="00955D9E">
        <w:t xml:space="preserve"> </w:t>
      </w:r>
      <w:r w:rsidRPr="00955D9E">
        <w:rPr>
          <w:spacing w:val="-3"/>
        </w:rPr>
        <w:t>will be maintained over time through various activities, including data analysis to detect disparities on the part of one or more evaluators, periodic</w:t>
      </w:r>
      <w:r w:rsidR="00955D9E">
        <w:t xml:space="preserve"> </w:t>
      </w:r>
      <w:r w:rsidRPr="00955D9E">
        <w:rPr>
          <w:spacing w:val="-3"/>
        </w:rPr>
        <w:t>comparisons of a lead evaluator's assessment with another evaluator's assessment of the same educator, and annual</w:t>
      </w:r>
      <w:r w:rsidR="00955D9E">
        <w:rPr>
          <w:spacing w:val="-3"/>
        </w:rPr>
        <w:t xml:space="preserve"> </w:t>
      </w:r>
      <w:r w:rsidRPr="00955D9E">
        <w:rPr>
          <w:spacing w:val="-3"/>
        </w:rPr>
        <w:lastRenderedPageBreak/>
        <w:t>calibration sessions across</w:t>
      </w:r>
      <w:r w:rsidR="00955D9E">
        <w:t xml:space="preserve"> </w:t>
      </w:r>
      <w:r w:rsidRPr="00955D9E">
        <w:rPr>
          <w:spacing w:val="-3"/>
        </w:rPr>
        <w:t xml:space="preserve">evaluators within the district. These activities will result in another 2 school days of training. </w:t>
      </w:r>
    </w:p>
    <w:p w:rsidR="00E667F4" w:rsidRPr="00955D9E" w:rsidRDefault="00E667F4" w:rsidP="00955D9E">
      <w:pPr>
        <w:numPr>
          <w:ilvl w:val="0"/>
          <w:numId w:val="6"/>
        </w:numPr>
        <w:tabs>
          <w:tab w:val="clear" w:pos="360"/>
          <w:tab w:val="num" w:pos="432"/>
        </w:tabs>
        <w:spacing w:before="288" w:line="278" w:lineRule="auto"/>
        <w:ind w:right="216"/>
        <w:jc w:val="both"/>
      </w:pPr>
      <w:r w:rsidRPr="00955D9E">
        <w:rPr>
          <w:spacing w:val="-3"/>
        </w:rPr>
        <w:t>Certified school administrators or superintendents of</w:t>
      </w:r>
      <w:r w:rsidR="00955D9E">
        <w:t xml:space="preserve"> </w:t>
      </w:r>
      <w:r w:rsidRPr="00955D9E">
        <w:rPr>
          <w:spacing w:val="-3"/>
        </w:rPr>
        <w:t>schools serving as lead evaluators will not be prohibited from conducting classroom observations or school visits as part of an APPR prior to</w:t>
      </w:r>
      <w:r w:rsidR="00955D9E">
        <w:t xml:space="preserve"> </w:t>
      </w:r>
      <w:r w:rsidRPr="00955D9E">
        <w:rPr>
          <w:spacing w:val="-3"/>
        </w:rPr>
        <w:t>completion of the training required by §30-3.10 provided such training is successfully completed prior to completion of the evaluation. Lead</w:t>
      </w:r>
      <w:r w:rsidR="00955D9E">
        <w:t xml:space="preserve"> </w:t>
      </w:r>
      <w:r w:rsidRPr="00955D9E">
        <w:rPr>
          <w:spacing w:val="-3"/>
        </w:rPr>
        <w:t>evaluators will be re-certified by the Board of Education annually. Additionally, all impartial independent evaluators and evaluators will also be</w:t>
      </w:r>
      <w:r w:rsidR="00955D9E">
        <w:t xml:space="preserve"> </w:t>
      </w:r>
      <w:r w:rsidRPr="00955D9E">
        <w:rPr>
          <w:spacing w:val="-3"/>
        </w:rPr>
        <w:t>retrained annually to maintain calibration levels consistent with district expectations.</w:t>
      </w:r>
    </w:p>
    <w:p w:rsidR="00AB7869" w:rsidRPr="00A7420B" w:rsidRDefault="00AB7869" w:rsidP="00AB7869">
      <w:pPr>
        <w:widowControl/>
        <w:kinsoku/>
        <w:autoSpaceDE w:val="0"/>
        <w:autoSpaceDN w:val="0"/>
        <w:adjustRightInd w:val="0"/>
      </w:pPr>
    </w:p>
    <w:p w:rsidR="00781970" w:rsidRPr="00A7420B" w:rsidRDefault="00781970" w:rsidP="00AB7869">
      <w:pPr>
        <w:widowControl/>
        <w:kinsoku/>
        <w:autoSpaceDE w:val="0"/>
        <w:autoSpaceDN w:val="0"/>
        <w:adjustRightInd w:val="0"/>
      </w:pPr>
    </w:p>
    <w:p w:rsidR="0097561A" w:rsidRPr="00A7420B" w:rsidRDefault="00CB155A" w:rsidP="00785628">
      <w:pPr>
        <w:pStyle w:val="ListParagraph"/>
        <w:numPr>
          <w:ilvl w:val="0"/>
          <w:numId w:val="18"/>
        </w:numPr>
        <w:rPr>
          <w:b/>
          <w:spacing w:val="2"/>
          <w:u w:val="single"/>
        </w:rPr>
      </w:pPr>
      <w:r w:rsidRPr="00A7420B">
        <w:rPr>
          <w:b/>
          <w:spacing w:val="2"/>
        </w:rPr>
        <w:t xml:space="preserve">  </w:t>
      </w:r>
      <w:r w:rsidR="0097561A" w:rsidRPr="00A7420B">
        <w:rPr>
          <w:b/>
          <w:spacing w:val="2"/>
          <w:u w:val="single"/>
        </w:rPr>
        <w:t>Required Certificates</w:t>
      </w:r>
    </w:p>
    <w:p w:rsidR="0097561A" w:rsidRPr="00A7420B" w:rsidRDefault="0097561A" w:rsidP="0097561A">
      <w:pPr>
        <w:spacing w:before="216" w:line="276" w:lineRule="auto"/>
        <w:ind w:left="72" w:right="72"/>
      </w:pPr>
      <w:r w:rsidRPr="00A7420B">
        <w:t>The District shall include with this APPR Plan any certifications required by the law or regulations upon the completion of collective negotiations with the bargaining agent of the covered principals.</w:t>
      </w:r>
    </w:p>
    <w:p w:rsidR="009417E4" w:rsidRPr="00A7420B" w:rsidRDefault="009417E4" w:rsidP="0097561A">
      <w:pPr>
        <w:spacing w:before="216" w:line="276" w:lineRule="auto"/>
        <w:ind w:left="72" w:right="72"/>
      </w:pPr>
    </w:p>
    <w:p w:rsidR="0097561A" w:rsidRPr="00A7420B" w:rsidRDefault="00215EE1" w:rsidP="00785628">
      <w:pPr>
        <w:pStyle w:val="ListParagraph"/>
        <w:numPr>
          <w:ilvl w:val="0"/>
          <w:numId w:val="18"/>
        </w:numPr>
        <w:spacing w:before="144"/>
        <w:rPr>
          <w:b/>
          <w:spacing w:val="13"/>
          <w:u w:val="single"/>
        </w:rPr>
      </w:pPr>
      <w:r w:rsidRPr="00A7420B">
        <w:rPr>
          <w:b/>
          <w:spacing w:val="13"/>
          <w:u w:val="single"/>
        </w:rPr>
        <w:t xml:space="preserve"> </w:t>
      </w:r>
      <w:r w:rsidR="0097561A" w:rsidRPr="00A7420B">
        <w:rPr>
          <w:b/>
          <w:spacing w:val="13"/>
          <w:u w:val="single"/>
        </w:rPr>
        <w:t xml:space="preserve">Effect on Existing </w:t>
      </w:r>
      <w:r w:rsidR="00781970" w:rsidRPr="00A7420B">
        <w:rPr>
          <w:b/>
          <w:spacing w:val="13"/>
          <w:u w:val="single"/>
        </w:rPr>
        <w:t>Contracts</w:t>
      </w:r>
    </w:p>
    <w:p w:rsidR="00781970" w:rsidRPr="00A7420B" w:rsidRDefault="0097561A" w:rsidP="00781970">
      <w:pPr>
        <w:spacing w:before="180" w:line="271" w:lineRule="auto"/>
        <w:ind w:left="72" w:right="792"/>
      </w:pPr>
      <w:r w:rsidRPr="00A7420B">
        <w:rPr>
          <w:spacing w:val="-4"/>
        </w:rPr>
        <w:t xml:space="preserve">Nothing herein shall be construed to abrogate any conflicting provisions of </w:t>
      </w:r>
      <w:r w:rsidR="00781970" w:rsidRPr="00A7420B">
        <w:rPr>
          <w:spacing w:val="-4"/>
        </w:rPr>
        <w:t>contracts</w:t>
      </w:r>
      <w:r w:rsidR="00D3491E">
        <w:t xml:space="preserve"> in effect prior to the signing of this agreement</w:t>
      </w:r>
      <w:r w:rsidRPr="00A7420B">
        <w:t>.</w:t>
      </w:r>
    </w:p>
    <w:p w:rsidR="00781970" w:rsidRPr="00A7420B" w:rsidRDefault="00781970" w:rsidP="00781970">
      <w:pPr>
        <w:tabs>
          <w:tab w:val="left" w:pos="630"/>
          <w:tab w:val="left" w:pos="720"/>
        </w:tabs>
      </w:pPr>
    </w:p>
    <w:p w:rsidR="00D3491E" w:rsidRPr="00D3491E" w:rsidRDefault="00781970" w:rsidP="00D3491E">
      <w:pPr>
        <w:pStyle w:val="ListParagraph"/>
        <w:numPr>
          <w:ilvl w:val="0"/>
          <w:numId w:val="18"/>
        </w:numPr>
        <w:tabs>
          <w:tab w:val="left" w:pos="630"/>
          <w:tab w:val="left" w:pos="720"/>
        </w:tabs>
      </w:pPr>
      <w:r w:rsidRPr="00D3491E">
        <w:rPr>
          <w:b/>
          <w:u w:val="single"/>
        </w:rPr>
        <w:t>Savings Clause</w:t>
      </w:r>
    </w:p>
    <w:p w:rsidR="00D3491E" w:rsidRDefault="00D3491E" w:rsidP="00D3491E">
      <w:pPr>
        <w:pStyle w:val="ListParagraph"/>
        <w:tabs>
          <w:tab w:val="left" w:pos="630"/>
          <w:tab w:val="left" w:pos="720"/>
        </w:tabs>
        <w:ind w:left="360"/>
      </w:pPr>
    </w:p>
    <w:p w:rsidR="00781970" w:rsidRPr="00A7420B" w:rsidRDefault="00781970" w:rsidP="00781970">
      <w:pPr>
        <w:tabs>
          <w:tab w:val="left" w:pos="630"/>
          <w:tab w:val="left" w:pos="720"/>
        </w:tabs>
      </w:pPr>
      <w:r w:rsidRPr="00A7420B">
        <w:t>This agreement and all provisions herein are subject to all applicable laws and regulations and decisions of the Commissioner of Education for New York State.  In the event of any provision of this agreement is held to violate such laws, said provision shall not bind either of the parties; but the remainder of this agreement shall remain in full force and effect as if the invalid provisions had not been a part of this agreement.</w:t>
      </w:r>
    </w:p>
    <w:p w:rsidR="007D2987" w:rsidRPr="00A7420B" w:rsidRDefault="007D2987" w:rsidP="00781970">
      <w:pPr>
        <w:tabs>
          <w:tab w:val="left" w:pos="630"/>
          <w:tab w:val="left" w:pos="720"/>
        </w:tabs>
      </w:pPr>
    </w:p>
    <w:p w:rsidR="00215EE1" w:rsidRPr="00A7420B" w:rsidRDefault="00215EE1" w:rsidP="00781970">
      <w:pPr>
        <w:tabs>
          <w:tab w:val="left" w:pos="630"/>
          <w:tab w:val="left" w:pos="720"/>
        </w:tabs>
      </w:pPr>
    </w:p>
    <w:p w:rsidR="0097561A" w:rsidRPr="00A7420B" w:rsidRDefault="00CD0377" w:rsidP="00785628">
      <w:pPr>
        <w:pStyle w:val="ListParagraph"/>
        <w:numPr>
          <w:ilvl w:val="0"/>
          <w:numId w:val="18"/>
        </w:numPr>
        <w:spacing w:before="180" w:line="480" w:lineRule="auto"/>
        <w:ind w:right="504"/>
      </w:pPr>
      <w:r w:rsidRPr="00A7420B">
        <w:rPr>
          <w:b/>
          <w:spacing w:val="6"/>
        </w:rPr>
        <w:t xml:space="preserve">   </w:t>
      </w:r>
      <w:r w:rsidR="0097561A" w:rsidRPr="00A7420B">
        <w:rPr>
          <w:b/>
          <w:spacing w:val="6"/>
          <w:u w:val="single"/>
        </w:rPr>
        <w:t>Filing and Publication of APPR Plan</w:t>
      </w:r>
      <w:r w:rsidR="0097561A" w:rsidRPr="00A7420B">
        <w:rPr>
          <w:spacing w:val="6"/>
          <w:u w:val="single"/>
        </w:rPr>
        <w:t xml:space="preserve"> </w:t>
      </w:r>
    </w:p>
    <w:p w:rsidR="0097561A" w:rsidRPr="00A7420B" w:rsidRDefault="0097561A" w:rsidP="00913BF8">
      <w:pPr>
        <w:suppressLineNumbers/>
        <w:spacing w:before="180"/>
        <w:ind w:left="90" w:right="504"/>
      </w:pPr>
      <w:r w:rsidRPr="00A7420B">
        <w:t>This APPR Plan shall be filed in the District Office, and shall be made available to the public on the</w:t>
      </w:r>
      <w:r w:rsidR="009417E4" w:rsidRPr="00A7420B">
        <w:t xml:space="preserve"> </w:t>
      </w:r>
      <w:r w:rsidRPr="00A7420B">
        <w:rPr>
          <w:spacing w:val="-1"/>
        </w:rPr>
        <w:t xml:space="preserve">District's website within ten days </w:t>
      </w:r>
      <w:r w:rsidR="009417E4" w:rsidRPr="00A7420B">
        <w:rPr>
          <w:spacing w:val="-1"/>
        </w:rPr>
        <w:t>of</w:t>
      </w:r>
      <w:r w:rsidRPr="00A7420B">
        <w:rPr>
          <w:spacing w:val="-1"/>
        </w:rPr>
        <w:t xml:space="preserve"> </w:t>
      </w:r>
      <w:r w:rsidR="00D3491E">
        <w:rPr>
          <w:spacing w:val="-1"/>
        </w:rPr>
        <w:t>approval by SED.</w:t>
      </w:r>
    </w:p>
    <w:p w:rsidR="0097561A" w:rsidRPr="00A7420B" w:rsidRDefault="0097561A" w:rsidP="0097561A">
      <w:pPr>
        <w:spacing w:before="216"/>
        <w:ind w:left="90"/>
      </w:pPr>
      <w:r w:rsidRPr="00A7420B">
        <w:t>Adoption Date:</w:t>
      </w:r>
    </w:p>
    <w:p w:rsidR="0097561A" w:rsidRPr="004A76EE" w:rsidRDefault="0097561A" w:rsidP="004A76EE">
      <w:pPr>
        <w:rPr>
          <w:sz w:val="28"/>
          <w:szCs w:val="28"/>
        </w:rPr>
        <w:sectPr w:rsidR="0097561A" w:rsidRPr="004A76EE">
          <w:footerReference w:type="even" r:id="rId8"/>
          <w:footerReference w:type="default" r:id="rId9"/>
          <w:pgSz w:w="12245" w:h="15703"/>
          <w:pgMar w:top="1364" w:right="1352" w:bottom="2125" w:left="1409" w:header="720" w:footer="867" w:gutter="0"/>
          <w:cols w:space="720"/>
          <w:noEndnote/>
        </w:sectPr>
      </w:pPr>
      <w:r w:rsidRPr="00A7420B">
        <w:t>Legal Reference(s): Education Law §3012-c; 8 N.Y.C.R.</w:t>
      </w:r>
      <w:r w:rsidR="00D3491E">
        <w:t>R. Part 30-2 and Section 100.2</w:t>
      </w:r>
    </w:p>
    <w:p w:rsidR="00702371" w:rsidRDefault="00702371" w:rsidP="00785628">
      <w:pPr>
        <w:jc w:val="center"/>
        <w:rPr>
          <w:b/>
          <w:u w:val="single"/>
        </w:rPr>
      </w:pPr>
      <w:r w:rsidRPr="00F94E3F">
        <w:rPr>
          <w:b/>
          <w:u w:val="single"/>
        </w:rPr>
        <w:lastRenderedPageBreak/>
        <w:t>PROCEDURAL CHECKLIST</w:t>
      </w:r>
      <w:r w:rsidR="00785628">
        <w:rPr>
          <w:b/>
          <w:u w:val="single"/>
        </w:rPr>
        <w:t xml:space="preserve"> – Appendix A</w:t>
      </w:r>
    </w:p>
    <w:p w:rsidR="00702371" w:rsidRDefault="00702371" w:rsidP="00702371">
      <w:pPr>
        <w:jc w:val="center"/>
        <w:rPr>
          <w:b/>
          <w:u w:val="single"/>
        </w:rPr>
      </w:pPr>
      <w:r>
        <w:rPr>
          <w:b/>
          <w:u w:val="single"/>
        </w:rPr>
        <w:t>APPR APPEAL -_PRINCIPAL</w:t>
      </w:r>
    </w:p>
    <w:p w:rsidR="00702371" w:rsidRDefault="00702371" w:rsidP="00702371">
      <w:pPr>
        <w:jc w:val="center"/>
        <w:rPr>
          <w:b/>
          <w:u w:val="single"/>
        </w:rPr>
      </w:pPr>
    </w:p>
    <w:p w:rsidR="00702371" w:rsidRPr="00702371" w:rsidRDefault="00702371" w:rsidP="00702371">
      <w:pPr>
        <w:jc w:val="center"/>
      </w:pPr>
      <w:r w:rsidRPr="00702371">
        <w:rPr>
          <w:u w:val="single"/>
        </w:rPr>
        <w:t>Dates</w:t>
      </w:r>
    </w:p>
    <w:p w:rsidR="00702371" w:rsidRDefault="00702371" w:rsidP="00702371"/>
    <w:p w:rsidR="00702371" w:rsidRDefault="00702371" w:rsidP="00702371">
      <w:r>
        <w:t>APPR Rating Received:</w:t>
      </w:r>
      <w:r>
        <w:tab/>
      </w:r>
      <w:r>
        <w:tab/>
        <w:t>___________________</w:t>
      </w:r>
    </w:p>
    <w:p w:rsidR="00702371" w:rsidRDefault="00702371" w:rsidP="00702371"/>
    <w:p w:rsidR="00702371" w:rsidRDefault="00702371" w:rsidP="00702371">
      <w:r>
        <w:t>Meeting With Superintendent</w:t>
      </w:r>
      <w:r>
        <w:tab/>
      </w:r>
      <w:r>
        <w:tab/>
        <w:t>___________________</w:t>
      </w:r>
    </w:p>
    <w:p w:rsidR="00702371" w:rsidRDefault="00702371" w:rsidP="00702371"/>
    <w:p w:rsidR="00702371" w:rsidRDefault="00702371" w:rsidP="00702371">
      <w:r>
        <w:t>Appeal must be filed by (5):</w:t>
      </w:r>
      <w:r>
        <w:tab/>
        <w:t xml:space="preserve">            ___________________</w:t>
      </w:r>
      <w:r>
        <w:tab/>
      </w:r>
      <w:r>
        <w:tab/>
      </w:r>
      <w:r>
        <w:tab/>
      </w:r>
      <w:r>
        <w:tab/>
      </w:r>
      <w:r>
        <w:tab/>
      </w:r>
    </w:p>
    <w:p w:rsidR="00702371" w:rsidRDefault="00702371" w:rsidP="00702371">
      <w:r>
        <w:tab/>
        <w:t>* Appeal filed:</w:t>
      </w:r>
      <w:r>
        <w:tab/>
      </w:r>
      <w:r>
        <w:tab/>
      </w:r>
      <w:r>
        <w:tab/>
        <w:t>___________________</w:t>
      </w:r>
    </w:p>
    <w:p w:rsidR="00702371" w:rsidRDefault="00702371" w:rsidP="00702371">
      <w:r>
        <w:tab/>
      </w:r>
      <w:r>
        <w:tab/>
      </w:r>
      <w:r>
        <w:tab/>
      </w:r>
      <w:r>
        <w:tab/>
      </w:r>
      <w:r>
        <w:tab/>
      </w:r>
    </w:p>
    <w:p w:rsidR="00702371" w:rsidRDefault="00702371" w:rsidP="00702371">
      <w:r>
        <w:t>District’s response must be filed by (15):________________</w:t>
      </w:r>
    </w:p>
    <w:p w:rsidR="00702371" w:rsidRDefault="00702371" w:rsidP="00702371">
      <w:r>
        <w:tab/>
        <w:t>* District’s response filed:</w:t>
      </w:r>
      <w:r>
        <w:tab/>
        <w:t>___________________</w:t>
      </w:r>
      <w:r>
        <w:tab/>
      </w:r>
      <w:r>
        <w:tab/>
      </w:r>
      <w:r>
        <w:tab/>
      </w:r>
      <w:r>
        <w:tab/>
      </w:r>
      <w:r>
        <w:tab/>
      </w:r>
      <w:r>
        <w:tab/>
        <w:t>* District’s response copied</w:t>
      </w:r>
    </w:p>
    <w:p w:rsidR="00702371" w:rsidRDefault="00702371" w:rsidP="00702371">
      <w:r>
        <w:tab/>
        <w:t xml:space="preserve">   </w:t>
      </w:r>
      <w:proofErr w:type="gramStart"/>
      <w:r>
        <w:t>to</w:t>
      </w:r>
      <w:proofErr w:type="gramEnd"/>
      <w:r>
        <w:t xml:space="preserve"> principal:</w:t>
      </w:r>
      <w:r>
        <w:tab/>
      </w:r>
      <w:r>
        <w:tab/>
      </w:r>
      <w:r>
        <w:tab/>
        <w:t>___________________</w:t>
      </w:r>
      <w:r>
        <w:tab/>
        <w:t>method: _____________</w:t>
      </w:r>
    </w:p>
    <w:p w:rsidR="00702371" w:rsidRDefault="00702371" w:rsidP="00702371">
      <w:r>
        <w:tab/>
      </w:r>
    </w:p>
    <w:p w:rsidR="00702371" w:rsidRDefault="00702371" w:rsidP="00702371">
      <w:r>
        <w:t>Initial Panel designations must be</w:t>
      </w:r>
    </w:p>
    <w:p w:rsidR="00702371" w:rsidRDefault="00702371" w:rsidP="00702371">
      <w:proofErr w:type="gramStart"/>
      <w:r>
        <w:t>made</w:t>
      </w:r>
      <w:proofErr w:type="gramEnd"/>
      <w:r>
        <w:t xml:space="preserve"> by (5):</w:t>
      </w:r>
      <w:r>
        <w:tab/>
      </w:r>
      <w:r>
        <w:tab/>
      </w:r>
      <w:r>
        <w:tab/>
      </w:r>
      <w:r>
        <w:tab/>
        <w:t>___________________</w:t>
      </w:r>
    </w:p>
    <w:p w:rsidR="00702371" w:rsidRDefault="00702371" w:rsidP="00702371">
      <w:r>
        <w:tab/>
        <w:t>* Superintendent’s Panel</w:t>
      </w:r>
    </w:p>
    <w:p w:rsidR="00702371" w:rsidRDefault="00702371" w:rsidP="00702371">
      <w:r>
        <w:tab/>
        <w:t xml:space="preserve">   </w:t>
      </w:r>
      <w:proofErr w:type="gramStart"/>
      <w:r>
        <w:t>designation</w:t>
      </w:r>
      <w:proofErr w:type="gramEnd"/>
      <w:r>
        <w:t xml:space="preserve"> to principal:</w:t>
      </w:r>
      <w:r>
        <w:tab/>
        <w:t>___________________</w:t>
      </w:r>
      <w:r>
        <w:tab/>
        <w:t>method:  _____________</w:t>
      </w:r>
      <w:r>
        <w:tab/>
      </w:r>
    </w:p>
    <w:p w:rsidR="00702371" w:rsidRDefault="00702371" w:rsidP="00702371">
      <w:pPr>
        <w:ind w:firstLine="720"/>
      </w:pPr>
      <w:r>
        <w:t xml:space="preserve">* Principal’s Panel </w:t>
      </w:r>
      <w:proofErr w:type="spellStart"/>
      <w:r>
        <w:t>desig</w:t>
      </w:r>
      <w:proofErr w:type="spellEnd"/>
      <w:r>
        <w:t>-</w:t>
      </w:r>
    </w:p>
    <w:p w:rsidR="00702371" w:rsidRDefault="00702371" w:rsidP="00702371">
      <w:r>
        <w:tab/>
        <w:t xml:space="preserve">   </w:t>
      </w:r>
      <w:proofErr w:type="gramStart"/>
      <w:r>
        <w:t>nation</w:t>
      </w:r>
      <w:proofErr w:type="gramEnd"/>
      <w:r>
        <w:t xml:space="preserve"> to Superintendent:</w:t>
      </w:r>
      <w:r>
        <w:tab/>
        <w:t>___________________</w:t>
      </w:r>
      <w:r>
        <w:tab/>
        <w:t xml:space="preserve">method:  _____________ </w:t>
      </w:r>
      <w:r>
        <w:tab/>
      </w:r>
    </w:p>
    <w:p w:rsidR="00702371" w:rsidRDefault="00702371" w:rsidP="00702371"/>
    <w:p w:rsidR="00702371" w:rsidRDefault="00702371" w:rsidP="00702371">
      <w:r>
        <w:t>Third Panel designation must be</w:t>
      </w:r>
    </w:p>
    <w:p w:rsidR="00702371" w:rsidRDefault="00702371" w:rsidP="00702371">
      <w:proofErr w:type="gramStart"/>
      <w:r>
        <w:t>made</w:t>
      </w:r>
      <w:proofErr w:type="gramEnd"/>
      <w:r>
        <w:t xml:space="preserve"> by (5):</w:t>
      </w:r>
      <w:r>
        <w:tab/>
      </w:r>
      <w:r>
        <w:tab/>
      </w:r>
      <w:r>
        <w:tab/>
      </w:r>
      <w:r>
        <w:tab/>
        <w:t>___________________</w:t>
      </w:r>
    </w:p>
    <w:p w:rsidR="00702371" w:rsidRDefault="00702371" w:rsidP="00702371">
      <w:r>
        <w:tab/>
        <w:t>* Third Panel designation</w:t>
      </w:r>
    </w:p>
    <w:p w:rsidR="00702371" w:rsidRDefault="00702371" w:rsidP="00702371">
      <w:r>
        <w:tab/>
        <w:t xml:space="preserve">   </w:t>
      </w:r>
      <w:proofErr w:type="gramStart"/>
      <w:r>
        <w:t>to</w:t>
      </w:r>
      <w:proofErr w:type="gramEnd"/>
      <w:r>
        <w:t xml:space="preserve"> Superintendent:</w:t>
      </w:r>
      <w:r>
        <w:tab/>
      </w:r>
      <w:r>
        <w:tab/>
        <w:t>___________________</w:t>
      </w:r>
      <w:r>
        <w:tab/>
        <w:t>method:  _____________</w:t>
      </w:r>
      <w:r>
        <w:tab/>
      </w:r>
    </w:p>
    <w:p w:rsidR="00702371" w:rsidRDefault="00702371" w:rsidP="00702371">
      <w:pPr>
        <w:ind w:firstLine="720"/>
      </w:pPr>
      <w:r>
        <w:t>* Third Panel designation</w:t>
      </w:r>
    </w:p>
    <w:p w:rsidR="00702371" w:rsidRDefault="00702371" w:rsidP="00702371">
      <w:r>
        <w:tab/>
        <w:t xml:space="preserve">   </w:t>
      </w:r>
      <w:proofErr w:type="gramStart"/>
      <w:r>
        <w:t>to</w:t>
      </w:r>
      <w:proofErr w:type="gramEnd"/>
      <w:r>
        <w:t xml:space="preserve"> principal:</w:t>
      </w:r>
      <w:r>
        <w:tab/>
      </w:r>
      <w:r>
        <w:tab/>
      </w:r>
      <w:r>
        <w:tab/>
        <w:t>___________________</w:t>
      </w:r>
      <w:r>
        <w:tab/>
        <w:t xml:space="preserve">method:  _____________ </w:t>
      </w:r>
      <w:r>
        <w:tab/>
      </w:r>
    </w:p>
    <w:p w:rsidR="00702371" w:rsidRDefault="00702371" w:rsidP="00702371"/>
    <w:p w:rsidR="00702371" w:rsidRDefault="00702371" w:rsidP="00702371">
      <w:r>
        <w:t>Date appeal and District response</w:t>
      </w:r>
    </w:p>
    <w:p w:rsidR="00702371" w:rsidRDefault="00702371" w:rsidP="00702371">
      <w:proofErr w:type="gramStart"/>
      <w:r>
        <w:t>provided</w:t>
      </w:r>
      <w:proofErr w:type="gramEnd"/>
      <w:r>
        <w:t xml:space="preserve"> to Panel (5):</w:t>
      </w:r>
      <w:r>
        <w:tab/>
      </w:r>
      <w:r>
        <w:tab/>
      </w:r>
      <w:r>
        <w:tab/>
        <w:t>___________________</w:t>
      </w:r>
      <w:r>
        <w:tab/>
        <w:t>method:  _____________</w:t>
      </w:r>
      <w:r>
        <w:tab/>
        <w:t xml:space="preserve"> </w:t>
      </w:r>
    </w:p>
    <w:p w:rsidR="00702371" w:rsidRDefault="00702371" w:rsidP="00702371"/>
    <w:p w:rsidR="00702371" w:rsidRDefault="00702371" w:rsidP="00702371">
      <w:r>
        <w:t>Date Panel must meet:</w:t>
      </w:r>
      <w:r>
        <w:tab/>
      </w:r>
      <w:r>
        <w:tab/>
        <w:t>___________________</w:t>
      </w:r>
    </w:p>
    <w:p w:rsidR="00702371" w:rsidRDefault="00702371" w:rsidP="00702371">
      <w:r>
        <w:tab/>
        <w:t>* Date Panel met:</w:t>
      </w:r>
      <w:r>
        <w:tab/>
      </w:r>
      <w:r>
        <w:tab/>
        <w:t>___________________</w:t>
      </w:r>
      <w:r>
        <w:tab/>
      </w:r>
      <w:r>
        <w:tab/>
      </w:r>
      <w:r>
        <w:tab/>
      </w:r>
      <w:r>
        <w:tab/>
      </w:r>
      <w:r>
        <w:tab/>
      </w:r>
    </w:p>
    <w:p w:rsidR="00702371" w:rsidRDefault="00702371" w:rsidP="00702371"/>
    <w:p w:rsidR="00702371" w:rsidRDefault="00702371" w:rsidP="00702371">
      <w:r>
        <w:t>Decision must be filed (15):</w:t>
      </w:r>
      <w:r>
        <w:tab/>
      </w:r>
      <w:r>
        <w:tab/>
        <w:t>___________________</w:t>
      </w:r>
    </w:p>
    <w:p w:rsidR="00702371" w:rsidRDefault="00702371" w:rsidP="00702371">
      <w:r>
        <w:tab/>
        <w:t>* Decision filed:</w:t>
      </w:r>
      <w:r>
        <w:tab/>
      </w:r>
      <w:r>
        <w:tab/>
        <w:t>___________________</w:t>
      </w:r>
      <w:r>
        <w:tab/>
      </w:r>
      <w:r>
        <w:tab/>
      </w:r>
      <w:r>
        <w:tab/>
      </w:r>
      <w:r>
        <w:tab/>
      </w:r>
      <w:r>
        <w:tab/>
      </w:r>
    </w:p>
    <w:p w:rsidR="00702371" w:rsidRDefault="00702371" w:rsidP="00702371">
      <w:pPr>
        <w:ind w:firstLine="720"/>
      </w:pPr>
      <w:r>
        <w:t>* Copy to principal:</w:t>
      </w:r>
      <w:r>
        <w:tab/>
      </w:r>
      <w:r>
        <w:tab/>
        <w:t>___________________</w:t>
      </w:r>
      <w:r>
        <w:tab/>
        <w:t>method:  ____________</w:t>
      </w:r>
      <w:r>
        <w:tab/>
      </w:r>
    </w:p>
    <w:p w:rsidR="00702371" w:rsidRDefault="00702371" w:rsidP="00702371">
      <w:pPr>
        <w:rPr>
          <w:i/>
        </w:rPr>
      </w:pPr>
    </w:p>
    <w:p w:rsidR="00702371" w:rsidRDefault="00702371" w:rsidP="00702371">
      <w:r>
        <w:rPr>
          <w:i/>
        </w:rPr>
        <w:t>Use only if Panel determines dismissal is warranted based on procedural grounds</w:t>
      </w:r>
      <w:r>
        <w:t>:</w:t>
      </w:r>
    </w:p>
    <w:p w:rsidR="00702371" w:rsidRDefault="00702371" w:rsidP="00702371">
      <w:r>
        <w:t>Date Panel must file decision:</w:t>
      </w:r>
      <w:r>
        <w:tab/>
      </w:r>
      <w:r>
        <w:tab/>
        <w:t>___________________</w:t>
      </w:r>
    </w:p>
    <w:p w:rsidR="00702371" w:rsidRDefault="00702371" w:rsidP="00702371">
      <w:r>
        <w:t>(</w:t>
      </w:r>
      <w:proofErr w:type="gramStart"/>
      <w:r>
        <w:t>same</w:t>
      </w:r>
      <w:proofErr w:type="gramEnd"/>
      <w:r>
        <w:t xml:space="preserve"> as date Panel must meet)</w:t>
      </w:r>
    </w:p>
    <w:p w:rsidR="00702371" w:rsidRDefault="00702371" w:rsidP="00702371">
      <w:r>
        <w:tab/>
        <w:t>* Decision filed:</w:t>
      </w:r>
      <w:r>
        <w:tab/>
      </w:r>
      <w:r>
        <w:tab/>
        <w:t>___________________</w:t>
      </w:r>
      <w:r>
        <w:tab/>
      </w:r>
      <w:r>
        <w:tab/>
      </w:r>
      <w:r>
        <w:tab/>
      </w:r>
      <w:r>
        <w:tab/>
      </w:r>
      <w:r>
        <w:tab/>
      </w:r>
    </w:p>
    <w:p w:rsidR="00F32239" w:rsidRPr="00702371" w:rsidRDefault="00702371" w:rsidP="00702371">
      <w:pPr>
        <w:ind w:firstLine="720"/>
      </w:pPr>
      <w:r>
        <w:t>* Copy to principal:</w:t>
      </w:r>
      <w:r>
        <w:tab/>
      </w:r>
      <w:r>
        <w:tab/>
        <w:t>___________________</w:t>
      </w:r>
      <w:r>
        <w:tab/>
        <w:t>method:  ____________</w:t>
      </w:r>
      <w:r>
        <w:tab/>
      </w:r>
    </w:p>
    <w:p w:rsidR="00702371" w:rsidRDefault="00702371" w:rsidP="00F32239">
      <w:pPr>
        <w:jc w:val="center"/>
        <w:rPr>
          <w:b/>
          <w:sz w:val="28"/>
        </w:rPr>
        <w:sectPr w:rsidR="00702371" w:rsidSect="00724191">
          <w:pgSz w:w="12240" w:h="15840"/>
          <w:pgMar w:top="1440" w:right="1440" w:bottom="1440" w:left="1440" w:header="720" w:footer="720" w:gutter="0"/>
          <w:cols w:space="720"/>
          <w:docGrid w:linePitch="360"/>
        </w:sectPr>
      </w:pPr>
    </w:p>
    <w:p w:rsidR="00F32239" w:rsidRPr="00863169" w:rsidRDefault="00F32239" w:rsidP="00F32239">
      <w:pPr>
        <w:jc w:val="center"/>
        <w:rPr>
          <w:b/>
          <w:sz w:val="28"/>
        </w:rPr>
      </w:pPr>
      <w:r>
        <w:rPr>
          <w:b/>
          <w:sz w:val="28"/>
        </w:rPr>
        <w:lastRenderedPageBreak/>
        <w:t>PRINCIPAL</w:t>
      </w:r>
      <w:r w:rsidRPr="00863169">
        <w:rPr>
          <w:b/>
          <w:sz w:val="28"/>
        </w:rPr>
        <w:t>S’ IMPROVEMENT PLAN</w:t>
      </w:r>
      <w:r w:rsidR="00785628">
        <w:rPr>
          <w:b/>
          <w:sz w:val="28"/>
        </w:rPr>
        <w:t xml:space="preserve"> (Appendix B</w:t>
      </w:r>
      <w:r w:rsidR="00215EE1">
        <w:rPr>
          <w:b/>
          <w:sz w:val="28"/>
        </w:rPr>
        <w:t>)</w:t>
      </w:r>
    </w:p>
    <w:p w:rsidR="00F32239" w:rsidRDefault="00F32239" w:rsidP="00F32239">
      <w:pPr>
        <w:pStyle w:val="NoSpacing"/>
      </w:pPr>
      <w:r>
        <w:t>__________________________________</w:t>
      </w:r>
      <w:r>
        <w:tab/>
        <w:t xml:space="preserve">   ___________________</w:t>
      </w:r>
      <w:r>
        <w:tab/>
        <w:t xml:space="preserve">    __________________________________</w:t>
      </w:r>
    </w:p>
    <w:p w:rsidR="00F32239" w:rsidRDefault="00F32239" w:rsidP="00F32239">
      <w:pPr>
        <w:pStyle w:val="NoSpacing"/>
      </w:pPr>
      <w:r>
        <w:t xml:space="preserve">                        Principal                                                         Date</w:t>
      </w:r>
      <w:r>
        <w:tab/>
        <w:t xml:space="preserve">                                    Superintendent</w:t>
      </w:r>
    </w:p>
    <w:p w:rsidR="00F32239" w:rsidRDefault="00F32239" w:rsidP="00F32239">
      <w:pPr>
        <w:pStyle w:val="NoSpacing"/>
      </w:pPr>
    </w:p>
    <w:p w:rsidR="00F32239" w:rsidRDefault="00F32239" w:rsidP="00F32239">
      <w:pPr>
        <w:pStyle w:val="NoSpacing"/>
      </w:pPr>
      <w:r>
        <w:t xml:space="preserve">__________________________________        </w:t>
      </w:r>
      <w:r w:rsidR="00955D9E">
        <w:tab/>
      </w:r>
      <w:r w:rsidR="00955D9E">
        <w:tab/>
      </w:r>
      <w:r w:rsidR="00955D9E">
        <w:tab/>
      </w:r>
      <w:r>
        <w:t xml:space="preserve">           </w:t>
      </w:r>
      <w:r w:rsidR="00955D9E">
        <w:tab/>
      </w:r>
      <w:r>
        <w:t xml:space="preserve">  __________________________</w:t>
      </w:r>
      <w:r>
        <w:br/>
        <w:t xml:space="preserve">             Subject/Grade Level                                    </w:t>
      </w:r>
      <w:r w:rsidR="00955D9E">
        <w:tab/>
      </w:r>
      <w:r w:rsidR="00955D9E">
        <w:tab/>
      </w:r>
      <w:r w:rsidR="00955D9E">
        <w:tab/>
      </w:r>
      <w:r w:rsidR="00955D9E">
        <w:tab/>
      </w:r>
      <w:r w:rsidR="00955D9E">
        <w:tab/>
      </w:r>
      <w:r w:rsidR="00955D9E">
        <w:tab/>
      </w:r>
      <w:r>
        <w:t>Composite Score</w:t>
      </w:r>
    </w:p>
    <w:p w:rsidR="00F32239" w:rsidRDefault="00F32239" w:rsidP="00F32239">
      <w:pPr>
        <w:pStyle w:val="NoSpacing"/>
      </w:pPr>
      <w:r>
        <w:t xml:space="preserve">                                                                                    </w:t>
      </w:r>
    </w:p>
    <w:p w:rsidR="00F32239" w:rsidRDefault="00F32239" w:rsidP="00F32239">
      <w:pPr>
        <w:pStyle w:val="NoSpacing"/>
      </w:pPr>
    </w:p>
    <w:tbl>
      <w:tblPr>
        <w:tblStyle w:val="TableGrid"/>
        <w:tblW w:w="0" w:type="auto"/>
        <w:tblLook w:val="04A0"/>
      </w:tblPr>
      <w:tblGrid>
        <w:gridCol w:w="1452"/>
        <w:gridCol w:w="1936"/>
        <w:gridCol w:w="1862"/>
        <w:gridCol w:w="1837"/>
        <w:gridCol w:w="2042"/>
        <w:gridCol w:w="2083"/>
        <w:gridCol w:w="1964"/>
      </w:tblGrid>
      <w:tr w:rsidR="00F32239" w:rsidTr="00A44CF3">
        <w:tc>
          <w:tcPr>
            <w:tcW w:w="1452" w:type="dxa"/>
          </w:tcPr>
          <w:p w:rsidR="00F32239" w:rsidRDefault="00F32239" w:rsidP="00A44CF3">
            <w:pPr>
              <w:pStyle w:val="NoSpacing"/>
            </w:pPr>
            <w:r>
              <w:t>Principal Goals</w:t>
            </w:r>
          </w:p>
          <w:p w:rsidR="00F32239" w:rsidRDefault="00F32239" w:rsidP="00A44CF3">
            <w:pPr>
              <w:pStyle w:val="NoSpacing"/>
            </w:pPr>
            <w:r>
              <w:t>(1 to3)</w:t>
            </w:r>
          </w:p>
        </w:tc>
        <w:tc>
          <w:tcPr>
            <w:tcW w:w="1936" w:type="dxa"/>
          </w:tcPr>
          <w:p w:rsidR="00F32239" w:rsidRDefault="00F32239" w:rsidP="00A44CF3">
            <w:pPr>
              <w:pStyle w:val="NoSpacing"/>
            </w:pPr>
            <w:r>
              <w:t>Rubric – Domain-Element</w:t>
            </w:r>
          </w:p>
          <w:p w:rsidR="00F32239" w:rsidRDefault="00F32239" w:rsidP="00A44CF3">
            <w:pPr>
              <w:pStyle w:val="NoSpacing"/>
            </w:pPr>
            <w:r>
              <w:t>Chosen for Further Development</w:t>
            </w:r>
          </w:p>
        </w:tc>
        <w:tc>
          <w:tcPr>
            <w:tcW w:w="1862" w:type="dxa"/>
          </w:tcPr>
          <w:p w:rsidR="00F32239" w:rsidRDefault="00F32239" w:rsidP="00A44CF3">
            <w:pPr>
              <w:pStyle w:val="NoSpacing"/>
              <w:jc w:val="center"/>
            </w:pPr>
          </w:p>
          <w:p w:rsidR="00F32239" w:rsidRDefault="00F32239" w:rsidP="00A44CF3">
            <w:pPr>
              <w:pStyle w:val="NoSpacing"/>
              <w:jc w:val="center"/>
            </w:pPr>
          </w:p>
          <w:p w:rsidR="00F32239" w:rsidRDefault="00F32239" w:rsidP="00A44CF3">
            <w:pPr>
              <w:pStyle w:val="NoSpacing"/>
            </w:pPr>
            <w:r>
              <w:t>Critical Attributes Indicating Success</w:t>
            </w:r>
          </w:p>
        </w:tc>
        <w:tc>
          <w:tcPr>
            <w:tcW w:w="1837" w:type="dxa"/>
          </w:tcPr>
          <w:p w:rsidR="00F32239" w:rsidRDefault="00F32239" w:rsidP="00A44CF3">
            <w:pPr>
              <w:pStyle w:val="NoSpacing"/>
              <w:jc w:val="center"/>
            </w:pPr>
          </w:p>
          <w:p w:rsidR="00F32239" w:rsidRDefault="00F32239" w:rsidP="00A44CF3">
            <w:pPr>
              <w:pStyle w:val="NoSpacing"/>
              <w:jc w:val="center"/>
            </w:pPr>
          </w:p>
          <w:p w:rsidR="00F32239" w:rsidRDefault="00F32239" w:rsidP="00A44CF3">
            <w:pPr>
              <w:pStyle w:val="NoSpacing"/>
              <w:jc w:val="center"/>
            </w:pPr>
            <w:r>
              <w:t xml:space="preserve">Principal’s </w:t>
            </w:r>
          </w:p>
          <w:p w:rsidR="00F32239" w:rsidRDefault="00F32239" w:rsidP="00A44CF3">
            <w:pPr>
              <w:pStyle w:val="NoSpacing"/>
              <w:jc w:val="center"/>
            </w:pPr>
            <w:r>
              <w:t>Action Plan</w:t>
            </w:r>
          </w:p>
        </w:tc>
        <w:tc>
          <w:tcPr>
            <w:tcW w:w="2042" w:type="dxa"/>
          </w:tcPr>
          <w:p w:rsidR="00F32239" w:rsidRDefault="00F32239" w:rsidP="00A44CF3">
            <w:pPr>
              <w:pStyle w:val="NoSpacing"/>
              <w:jc w:val="center"/>
            </w:pPr>
          </w:p>
          <w:p w:rsidR="00F32239" w:rsidRDefault="00F32239" w:rsidP="00A44CF3">
            <w:pPr>
              <w:pStyle w:val="NoSpacing"/>
              <w:jc w:val="center"/>
            </w:pPr>
          </w:p>
          <w:p w:rsidR="00F32239" w:rsidRDefault="00F32239" w:rsidP="00A44CF3">
            <w:pPr>
              <w:pStyle w:val="NoSpacing"/>
              <w:jc w:val="center"/>
            </w:pPr>
            <w:r>
              <w:t>Superintendent Responsibilities</w:t>
            </w:r>
          </w:p>
        </w:tc>
        <w:tc>
          <w:tcPr>
            <w:tcW w:w="2083" w:type="dxa"/>
          </w:tcPr>
          <w:p w:rsidR="00F32239" w:rsidRDefault="00F32239" w:rsidP="00A44CF3">
            <w:pPr>
              <w:pStyle w:val="NoSpacing"/>
              <w:jc w:val="center"/>
            </w:pPr>
          </w:p>
          <w:p w:rsidR="00F32239" w:rsidRDefault="00F32239" w:rsidP="00A44CF3">
            <w:pPr>
              <w:pStyle w:val="NoSpacing"/>
              <w:jc w:val="center"/>
            </w:pPr>
          </w:p>
          <w:p w:rsidR="00F32239" w:rsidRDefault="00F32239" w:rsidP="00A44CF3">
            <w:pPr>
              <w:pStyle w:val="NoSpacing"/>
              <w:jc w:val="center"/>
            </w:pPr>
            <w:r>
              <w:t>Timeline of Progress &amp;</w:t>
            </w:r>
          </w:p>
          <w:p w:rsidR="00F32239" w:rsidRDefault="00F32239" w:rsidP="00A44CF3">
            <w:pPr>
              <w:pStyle w:val="NoSpacing"/>
              <w:jc w:val="center"/>
            </w:pPr>
            <w:r>
              <w:t>Review</w:t>
            </w:r>
          </w:p>
        </w:tc>
        <w:tc>
          <w:tcPr>
            <w:tcW w:w="1964" w:type="dxa"/>
          </w:tcPr>
          <w:p w:rsidR="00F32239" w:rsidRDefault="00F32239" w:rsidP="00A44CF3">
            <w:pPr>
              <w:pStyle w:val="NoSpacing"/>
              <w:jc w:val="center"/>
            </w:pPr>
          </w:p>
          <w:p w:rsidR="00F32239" w:rsidRDefault="00F32239" w:rsidP="00A44CF3">
            <w:pPr>
              <w:pStyle w:val="NoSpacing"/>
              <w:jc w:val="center"/>
            </w:pPr>
          </w:p>
          <w:p w:rsidR="00F32239" w:rsidRDefault="00F32239" w:rsidP="00A44CF3">
            <w:pPr>
              <w:pStyle w:val="NoSpacing"/>
              <w:jc w:val="center"/>
            </w:pPr>
            <w:r>
              <w:t>Elements of Measurement</w:t>
            </w:r>
          </w:p>
        </w:tc>
      </w:tr>
      <w:tr w:rsidR="00F32239" w:rsidTr="00A44CF3">
        <w:tc>
          <w:tcPr>
            <w:tcW w:w="1452" w:type="dxa"/>
          </w:tcPr>
          <w:p w:rsidR="00F32239" w:rsidRDefault="00F32239" w:rsidP="00A44CF3">
            <w:pPr>
              <w:pStyle w:val="NoSpacing"/>
            </w:pPr>
          </w:p>
        </w:tc>
        <w:tc>
          <w:tcPr>
            <w:tcW w:w="1936" w:type="dxa"/>
          </w:tcPr>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tc>
        <w:tc>
          <w:tcPr>
            <w:tcW w:w="1862" w:type="dxa"/>
          </w:tcPr>
          <w:p w:rsidR="00F32239" w:rsidRDefault="00F32239" w:rsidP="00A44CF3">
            <w:pPr>
              <w:pStyle w:val="NoSpacing"/>
            </w:pPr>
          </w:p>
        </w:tc>
        <w:tc>
          <w:tcPr>
            <w:tcW w:w="1837" w:type="dxa"/>
          </w:tcPr>
          <w:p w:rsidR="00F32239" w:rsidRDefault="00F32239" w:rsidP="00A44CF3">
            <w:pPr>
              <w:pStyle w:val="NoSpacing"/>
            </w:pPr>
          </w:p>
        </w:tc>
        <w:tc>
          <w:tcPr>
            <w:tcW w:w="2042" w:type="dxa"/>
          </w:tcPr>
          <w:p w:rsidR="00F32239" w:rsidRDefault="00F32239" w:rsidP="00A44CF3">
            <w:pPr>
              <w:pStyle w:val="NoSpacing"/>
            </w:pPr>
          </w:p>
        </w:tc>
        <w:tc>
          <w:tcPr>
            <w:tcW w:w="2083" w:type="dxa"/>
          </w:tcPr>
          <w:p w:rsidR="00F32239" w:rsidRDefault="00F32239" w:rsidP="00A44CF3">
            <w:pPr>
              <w:pStyle w:val="NoSpacing"/>
            </w:pPr>
          </w:p>
        </w:tc>
        <w:tc>
          <w:tcPr>
            <w:tcW w:w="1964" w:type="dxa"/>
          </w:tcPr>
          <w:p w:rsidR="00F32239" w:rsidRDefault="00F32239" w:rsidP="00A44CF3">
            <w:pPr>
              <w:pStyle w:val="NoSpacing"/>
            </w:pPr>
          </w:p>
        </w:tc>
      </w:tr>
    </w:tbl>
    <w:p w:rsidR="00F32239" w:rsidRDefault="00F32239" w:rsidP="00F32239">
      <w:pPr>
        <w:pStyle w:val="NoSpacing"/>
      </w:pPr>
    </w:p>
    <w:p w:rsidR="00F32239" w:rsidRDefault="00F32239" w:rsidP="00F32239">
      <w:pPr>
        <w:pStyle w:val="NoSpacing"/>
        <w:ind w:firstLine="720"/>
      </w:pPr>
    </w:p>
    <w:p w:rsidR="00F32239" w:rsidRDefault="00F32239" w:rsidP="00F32239">
      <w:pPr>
        <w:pStyle w:val="NoSpacing"/>
        <w:ind w:firstLine="720"/>
      </w:pPr>
      <w:r>
        <w:t>Principal’s Signature _____________________________________</w:t>
      </w:r>
      <w:proofErr w:type="gramStart"/>
      <w:r>
        <w:t>_  Date</w:t>
      </w:r>
      <w:proofErr w:type="gramEnd"/>
      <w:r>
        <w:t>____________________</w:t>
      </w:r>
    </w:p>
    <w:p w:rsidR="00F32239" w:rsidRDefault="00F32239" w:rsidP="00F32239">
      <w:pPr>
        <w:pStyle w:val="NoSpacing"/>
      </w:pPr>
    </w:p>
    <w:p w:rsidR="00BC64A9" w:rsidRDefault="00F32239" w:rsidP="00BC64A9">
      <w:pPr>
        <w:pStyle w:val="NoSpacing"/>
        <w:ind w:firstLine="720"/>
        <w:sectPr w:rsidR="00BC64A9" w:rsidSect="00BC64A9">
          <w:pgSz w:w="15840" w:h="12240" w:orient="landscape"/>
          <w:pgMar w:top="720" w:right="720" w:bottom="720" w:left="720" w:header="720" w:footer="720" w:gutter="0"/>
          <w:cols w:space="720"/>
          <w:docGrid w:linePitch="360"/>
        </w:sectPr>
      </w:pPr>
      <w:r>
        <w:t>Superintendent’s Signature __________________________________________   Date ____________________</w:t>
      </w:r>
    </w:p>
    <w:p w:rsidR="00F32239" w:rsidRDefault="00F32239" w:rsidP="00F32239">
      <w:pPr>
        <w:pStyle w:val="NoSpacing"/>
      </w:pPr>
      <w:r>
        <w:lastRenderedPageBreak/>
        <w:t xml:space="preserve">              </w:t>
      </w:r>
    </w:p>
    <w:p w:rsidR="00F32239" w:rsidRDefault="00F32239" w:rsidP="00F32239">
      <w:pPr>
        <w:pStyle w:val="NoSpacing"/>
      </w:pPr>
    </w:p>
    <w:p w:rsidR="00F32239" w:rsidRDefault="00F32239" w:rsidP="00F32239">
      <w:pPr>
        <w:pStyle w:val="NoSpacing"/>
      </w:pPr>
      <w:r>
        <w:t xml:space="preserve">                                                                                                        Evaluator                                                               Principal’s</w:t>
      </w:r>
    </w:p>
    <w:p w:rsidR="00F32239" w:rsidRDefault="00F32239" w:rsidP="00F32239">
      <w:pPr>
        <w:pStyle w:val="NoSpacing"/>
      </w:pPr>
      <w:r>
        <w:t xml:space="preserve">   Meeting Date                  Evaluator Comments of Progress             Initials                   Principal’s Comments                 Initials</w:t>
      </w:r>
    </w:p>
    <w:tbl>
      <w:tblPr>
        <w:tblStyle w:val="TableGrid"/>
        <w:tblW w:w="0" w:type="auto"/>
        <w:tblLook w:val="04A0"/>
      </w:tblPr>
      <w:tblGrid>
        <w:gridCol w:w="1998"/>
        <w:gridCol w:w="5130"/>
        <w:gridCol w:w="630"/>
        <w:gridCol w:w="4770"/>
        <w:gridCol w:w="648"/>
      </w:tblGrid>
      <w:tr w:rsidR="00F32239" w:rsidTr="00A44CF3">
        <w:trPr>
          <w:trHeight w:val="1839"/>
        </w:trPr>
        <w:tc>
          <w:tcPr>
            <w:tcW w:w="1998" w:type="dxa"/>
          </w:tcPr>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tc>
        <w:tc>
          <w:tcPr>
            <w:tcW w:w="5130" w:type="dxa"/>
          </w:tcPr>
          <w:p w:rsidR="00F32239" w:rsidRDefault="00F32239" w:rsidP="00A44CF3">
            <w:pPr>
              <w:pStyle w:val="NoSpacing"/>
            </w:pPr>
          </w:p>
        </w:tc>
        <w:tc>
          <w:tcPr>
            <w:tcW w:w="630" w:type="dxa"/>
          </w:tcPr>
          <w:p w:rsidR="00F32239" w:rsidRDefault="00F32239" w:rsidP="00A44CF3">
            <w:pPr>
              <w:pStyle w:val="NoSpacing"/>
            </w:pPr>
          </w:p>
        </w:tc>
        <w:tc>
          <w:tcPr>
            <w:tcW w:w="4770" w:type="dxa"/>
          </w:tcPr>
          <w:p w:rsidR="00F32239" w:rsidRDefault="00F32239" w:rsidP="00A44CF3">
            <w:pPr>
              <w:pStyle w:val="NoSpacing"/>
            </w:pPr>
          </w:p>
        </w:tc>
        <w:tc>
          <w:tcPr>
            <w:tcW w:w="648" w:type="dxa"/>
          </w:tcPr>
          <w:p w:rsidR="00F32239" w:rsidRDefault="00F32239" w:rsidP="00A44CF3">
            <w:pPr>
              <w:pStyle w:val="NoSpacing"/>
            </w:pPr>
          </w:p>
        </w:tc>
      </w:tr>
      <w:tr w:rsidR="00F32239" w:rsidTr="00A44CF3">
        <w:trPr>
          <w:trHeight w:val="1839"/>
        </w:trPr>
        <w:tc>
          <w:tcPr>
            <w:tcW w:w="1998" w:type="dxa"/>
          </w:tcPr>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tc>
        <w:tc>
          <w:tcPr>
            <w:tcW w:w="5130" w:type="dxa"/>
          </w:tcPr>
          <w:p w:rsidR="00F32239" w:rsidRDefault="00F32239" w:rsidP="00A44CF3">
            <w:pPr>
              <w:pStyle w:val="NoSpacing"/>
            </w:pPr>
          </w:p>
        </w:tc>
        <w:tc>
          <w:tcPr>
            <w:tcW w:w="630" w:type="dxa"/>
          </w:tcPr>
          <w:p w:rsidR="00F32239" w:rsidRDefault="00F32239" w:rsidP="00A44CF3">
            <w:pPr>
              <w:pStyle w:val="NoSpacing"/>
            </w:pPr>
          </w:p>
        </w:tc>
        <w:tc>
          <w:tcPr>
            <w:tcW w:w="4770" w:type="dxa"/>
          </w:tcPr>
          <w:p w:rsidR="00F32239" w:rsidRDefault="00F32239" w:rsidP="00A44CF3">
            <w:pPr>
              <w:pStyle w:val="NoSpacing"/>
            </w:pPr>
          </w:p>
        </w:tc>
        <w:tc>
          <w:tcPr>
            <w:tcW w:w="648" w:type="dxa"/>
          </w:tcPr>
          <w:p w:rsidR="00F32239" w:rsidRDefault="00F32239" w:rsidP="00A44CF3">
            <w:pPr>
              <w:pStyle w:val="NoSpacing"/>
            </w:pPr>
          </w:p>
        </w:tc>
      </w:tr>
      <w:tr w:rsidR="00F32239" w:rsidTr="00A44CF3">
        <w:trPr>
          <w:trHeight w:val="1839"/>
        </w:trPr>
        <w:tc>
          <w:tcPr>
            <w:tcW w:w="1998" w:type="dxa"/>
          </w:tcPr>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tc>
        <w:tc>
          <w:tcPr>
            <w:tcW w:w="5130" w:type="dxa"/>
          </w:tcPr>
          <w:p w:rsidR="00F32239" w:rsidRDefault="00F32239" w:rsidP="00A44CF3">
            <w:pPr>
              <w:pStyle w:val="NoSpacing"/>
            </w:pPr>
          </w:p>
        </w:tc>
        <w:tc>
          <w:tcPr>
            <w:tcW w:w="630" w:type="dxa"/>
          </w:tcPr>
          <w:p w:rsidR="00F32239" w:rsidRDefault="00F32239" w:rsidP="00A44CF3">
            <w:pPr>
              <w:pStyle w:val="NoSpacing"/>
            </w:pPr>
          </w:p>
        </w:tc>
        <w:tc>
          <w:tcPr>
            <w:tcW w:w="4770" w:type="dxa"/>
          </w:tcPr>
          <w:p w:rsidR="00F32239" w:rsidRDefault="00F32239" w:rsidP="00A44CF3">
            <w:pPr>
              <w:pStyle w:val="NoSpacing"/>
            </w:pPr>
          </w:p>
        </w:tc>
        <w:tc>
          <w:tcPr>
            <w:tcW w:w="648" w:type="dxa"/>
          </w:tcPr>
          <w:p w:rsidR="00F32239" w:rsidRDefault="00F32239" w:rsidP="00A44CF3">
            <w:pPr>
              <w:pStyle w:val="NoSpacing"/>
            </w:pPr>
          </w:p>
        </w:tc>
      </w:tr>
      <w:tr w:rsidR="00F32239" w:rsidTr="00A44CF3">
        <w:trPr>
          <w:trHeight w:val="1070"/>
        </w:trPr>
        <w:tc>
          <w:tcPr>
            <w:tcW w:w="1998" w:type="dxa"/>
          </w:tcPr>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p w:rsidR="00F32239" w:rsidRDefault="00F32239" w:rsidP="00A44CF3">
            <w:pPr>
              <w:pStyle w:val="NoSpacing"/>
            </w:pPr>
          </w:p>
        </w:tc>
        <w:tc>
          <w:tcPr>
            <w:tcW w:w="5130" w:type="dxa"/>
          </w:tcPr>
          <w:p w:rsidR="00F32239" w:rsidRDefault="00F32239" w:rsidP="00A44CF3">
            <w:pPr>
              <w:pStyle w:val="NoSpacing"/>
            </w:pPr>
          </w:p>
        </w:tc>
        <w:tc>
          <w:tcPr>
            <w:tcW w:w="630" w:type="dxa"/>
          </w:tcPr>
          <w:p w:rsidR="00F32239" w:rsidRDefault="00F32239" w:rsidP="00A44CF3">
            <w:pPr>
              <w:pStyle w:val="NoSpacing"/>
            </w:pPr>
          </w:p>
        </w:tc>
        <w:tc>
          <w:tcPr>
            <w:tcW w:w="4770" w:type="dxa"/>
          </w:tcPr>
          <w:p w:rsidR="00F32239" w:rsidRDefault="00F32239" w:rsidP="00A44CF3">
            <w:pPr>
              <w:pStyle w:val="NoSpacing"/>
            </w:pPr>
          </w:p>
        </w:tc>
        <w:tc>
          <w:tcPr>
            <w:tcW w:w="648" w:type="dxa"/>
          </w:tcPr>
          <w:p w:rsidR="00F32239" w:rsidRDefault="00F32239" w:rsidP="00A44CF3">
            <w:pPr>
              <w:pStyle w:val="NoSpacing"/>
            </w:pPr>
          </w:p>
        </w:tc>
      </w:tr>
    </w:tbl>
    <w:p w:rsidR="00F32239" w:rsidRDefault="00F32239" w:rsidP="00F32239">
      <w:pPr>
        <w:pStyle w:val="NoSpacing"/>
      </w:pPr>
    </w:p>
    <w:p w:rsidR="00F32239" w:rsidRDefault="00F32239" w:rsidP="00F32239">
      <w:pPr>
        <w:pStyle w:val="NoSpacing"/>
        <w:jc w:val="center"/>
        <w:rPr>
          <w:b/>
        </w:rPr>
      </w:pPr>
      <w:r w:rsidRPr="00396DD3">
        <w:rPr>
          <w:b/>
        </w:rPr>
        <w:t xml:space="preserve">Recommendation for Results of </w:t>
      </w:r>
      <w:r>
        <w:rPr>
          <w:b/>
        </w:rPr>
        <w:t>P</w:t>
      </w:r>
      <w:r w:rsidRPr="00396DD3">
        <w:rPr>
          <w:b/>
        </w:rPr>
        <w:t>IP</w:t>
      </w:r>
    </w:p>
    <w:p w:rsidR="00F32239" w:rsidRDefault="00F32239" w:rsidP="00F32239">
      <w:pPr>
        <w:pStyle w:val="NoSpacing"/>
        <w:rPr>
          <w:b/>
        </w:rPr>
      </w:pPr>
      <w:r w:rsidRPr="00396DD3">
        <w:t xml:space="preserve">   </w:t>
      </w:r>
      <w:r>
        <w:tab/>
      </w:r>
      <w:r>
        <w:tab/>
      </w:r>
      <w:r>
        <w:tab/>
      </w:r>
      <w:r>
        <w:tab/>
      </w:r>
      <w:r w:rsidRPr="00396DD3">
        <w:rPr>
          <w:sz w:val="28"/>
        </w:rPr>
        <w:sym w:font="Wingdings" w:char="F06F"/>
      </w:r>
      <w:r w:rsidRPr="00396DD3">
        <w:rPr>
          <w:sz w:val="28"/>
        </w:rPr>
        <w:t xml:space="preserve"> </w:t>
      </w:r>
      <w:r w:rsidRPr="00396DD3">
        <w:t xml:space="preserve">The </w:t>
      </w:r>
      <w:r>
        <w:t xml:space="preserve">principal </w:t>
      </w:r>
      <w:r w:rsidRPr="00396DD3">
        <w:t>has met the performanc</w:t>
      </w:r>
      <w:r>
        <w:t>e goals identified through the P</w:t>
      </w:r>
      <w:r w:rsidRPr="00396DD3">
        <w:t>IP</w:t>
      </w:r>
      <w:r>
        <w:t>.</w:t>
      </w:r>
      <w:r w:rsidRPr="00396DD3">
        <w:t xml:space="preserve"> </w:t>
      </w:r>
      <w:r w:rsidRPr="00396DD3">
        <w:rPr>
          <w:b/>
        </w:rPr>
        <w:t xml:space="preserve">                                                                                  </w:t>
      </w:r>
      <w:r>
        <w:rPr>
          <w:b/>
        </w:rPr>
        <w:t xml:space="preserve">   </w:t>
      </w:r>
    </w:p>
    <w:p w:rsidR="00F32239" w:rsidRPr="00396DD3" w:rsidRDefault="00F32239" w:rsidP="00F32239">
      <w:pPr>
        <w:pStyle w:val="NoSpacing"/>
      </w:pPr>
      <w:r>
        <w:rPr>
          <w:b/>
        </w:rPr>
        <w:t xml:space="preserve">  </w:t>
      </w:r>
      <w:r>
        <w:rPr>
          <w:b/>
        </w:rPr>
        <w:tab/>
      </w:r>
      <w:r>
        <w:rPr>
          <w:b/>
        </w:rPr>
        <w:tab/>
      </w:r>
      <w:r>
        <w:rPr>
          <w:b/>
        </w:rPr>
        <w:tab/>
      </w:r>
      <w:r>
        <w:rPr>
          <w:b/>
        </w:rPr>
        <w:tab/>
      </w:r>
      <w:r w:rsidRPr="00396DD3">
        <w:rPr>
          <w:sz w:val="28"/>
        </w:rPr>
        <w:sym w:font="Wingdings" w:char="F0A8"/>
      </w:r>
      <w:r w:rsidRPr="00396DD3">
        <w:t xml:space="preserve"> The </w:t>
      </w:r>
      <w:r>
        <w:t>principal</w:t>
      </w:r>
      <w:r w:rsidRPr="00396DD3">
        <w:t xml:space="preserve"> has not met the performance goals.</w:t>
      </w:r>
    </w:p>
    <w:p w:rsidR="008C7653" w:rsidRPr="0097561A" w:rsidRDefault="008C7653" w:rsidP="00781970">
      <w:pPr>
        <w:rPr>
          <w:sz w:val="28"/>
          <w:szCs w:val="28"/>
        </w:rPr>
      </w:pPr>
    </w:p>
    <w:sectPr w:rsidR="008C7653" w:rsidRPr="0097561A" w:rsidSect="00BC64A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7F4" w:rsidRDefault="00E667F4" w:rsidP="00CB2D23">
      <w:r>
        <w:separator/>
      </w:r>
    </w:p>
  </w:endnote>
  <w:endnote w:type="continuationSeparator" w:id="1">
    <w:p w:rsidR="00E667F4" w:rsidRDefault="00E667F4" w:rsidP="00CB2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F4" w:rsidRDefault="00E667F4">
    <w:pPr>
      <w:rPr>
        <w:sz w:val="16"/>
        <w:szCs w:val="16"/>
      </w:rPr>
    </w:pPr>
    <w:r w:rsidRPr="009D1F86">
      <w:rPr>
        <w:noProof/>
      </w:rPr>
      <w:pict>
        <v:shapetype id="_x0000_t202" coordsize="21600,21600" o:spt="202" path="m,l,21600r21600,l21600,xe">
          <v:stroke joinstyle="miter"/>
          <v:path gradientshapeok="t" o:connecttype="rect"/>
        </v:shapetype>
        <v:shape id="Text Box 3" o:spid="_x0000_s2049" type="#_x0000_t202" style="position:absolute;margin-left:72.25pt;margin-top:0;width:467.75pt;height:10.5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" o:allowincell="f" stroked="f">
          <v:fill opacity="0"/>
          <v:textbox style="mso-next-textbox:#Text Box 3" inset="0,0,0,0">
            <w:txbxContent>
              <w:p w:rsidR="00E667F4" w:rsidRDefault="00E667F4">
                <w:pPr>
                  <w:keepNext/>
                  <w:keepLines/>
                  <w:jc w:val="center"/>
                  <w:rPr>
                    <w:sz w:val="22"/>
                    <w:szCs w:val="22"/>
                  </w:rPr>
                </w:pPr>
                <w:r>
                  <w:rPr>
                    <w:sz w:val="22"/>
                    <w:szCs w:val="22"/>
                  </w:rPr>
                  <w:t>-1-</w:t>
                </w:r>
              </w:p>
            </w:txbxContent>
          </v:textbox>
          <w10:wrap type="square"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F4" w:rsidRDefault="00E667F4">
    <w:pPr>
      <w:widowControl/>
      <w:kinsoku/>
      <w:autoSpaceDE w:val="0"/>
      <w:autoSpaceDN w:val="0"/>
      <w:adjustRightInd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7F4" w:rsidRDefault="00E667F4" w:rsidP="00CB2D23">
      <w:r>
        <w:separator/>
      </w:r>
    </w:p>
  </w:footnote>
  <w:footnote w:type="continuationSeparator" w:id="1">
    <w:p w:rsidR="00E667F4" w:rsidRDefault="00E667F4" w:rsidP="00CB2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6F71"/>
    <w:multiLevelType w:val="hybridMultilevel"/>
    <w:tmpl w:val="C038D9CC"/>
    <w:lvl w:ilvl="0" w:tplc="4D1229BE">
      <w:start w:val="1"/>
      <w:numFmt w:val="upperLetter"/>
      <w:lvlText w:val="%1."/>
      <w:lvlJc w:val="left"/>
      <w:pPr>
        <w:ind w:left="1215" w:hanging="405"/>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nsid w:val="02A100C2"/>
    <w:multiLevelType w:val="hybridMultilevel"/>
    <w:tmpl w:val="432A378E"/>
    <w:lvl w:ilvl="0" w:tplc="A4E42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E82778"/>
    <w:multiLevelType w:val="hybridMultilevel"/>
    <w:tmpl w:val="7CBA4A5E"/>
    <w:lvl w:ilvl="0" w:tplc="7D3CE02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E9B281"/>
    <w:multiLevelType w:val="singleLevel"/>
    <w:tmpl w:val="27F1E7DF"/>
    <w:lvl w:ilvl="0">
      <w:start w:val="6"/>
      <w:numFmt w:val="decimal"/>
      <w:lvlText w:val="(%1)"/>
      <w:lvlJc w:val="left"/>
      <w:pPr>
        <w:tabs>
          <w:tab w:val="num" w:pos="576"/>
        </w:tabs>
        <w:ind w:left="72"/>
      </w:pPr>
      <w:rPr>
        <w:rFonts w:ascii="Garamond" w:hAnsi="Garamond" w:cs="Garamond"/>
        <w:snapToGrid/>
        <w:spacing w:val="1"/>
        <w:sz w:val="24"/>
        <w:szCs w:val="24"/>
        <w:u w:val="single"/>
      </w:rPr>
    </w:lvl>
  </w:abstractNum>
  <w:abstractNum w:abstractNumId="4">
    <w:nsid w:val="05E46BE3"/>
    <w:multiLevelType w:val="singleLevel"/>
    <w:tmpl w:val="576E41CD"/>
    <w:lvl w:ilvl="0">
      <w:start w:val="9"/>
      <w:numFmt w:val="decimal"/>
      <w:lvlText w:val="(%1)"/>
      <w:lvlJc w:val="left"/>
      <w:pPr>
        <w:tabs>
          <w:tab w:val="num" w:pos="360"/>
        </w:tabs>
        <w:ind w:left="72" w:firstLine="72"/>
      </w:pPr>
      <w:rPr>
        <w:rFonts w:ascii="Garamond" w:hAnsi="Garamond" w:cs="Garamond"/>
        <w:snapToGrid/>
        <w:spacing w:val="2"/>
        <w:sz w:val="24"/>
        <w:szCs w:val="24"/>
        <w:u w:val="single"/>
      </w:rPr>
    </w:lvl>
  </w:abstractNum>
  <w:abstractNum w:abstractNumId="5">
    <w:nsid w:val="069D15B5"/>
    <w:multiLevelType w:val="singleLevel"/>
    <w:tmpl w:val="71CB0689"/>
    <w:lvl w:ilvl="0">
      <w:start w:val="1"/>
      <w:numFmt w:val="lowerLetter"/>
      <w:lvlText w:val="(%1)"/>
      <w:lvlJc w:val="left"/>
      <w:pPr>
        <w:tabs>
          <w:tab w:val="num" w:pos="288"/>
        </w:tabs>
        <w:ind w:firstLine="72"/>
      </w:pPr>
      <w:rPr>
        <w:snapToGrid/>
        <w:spacing w:val="1"/>
        <w:sz w:val="22"/>
        <w:szCs w:val="22"/>
      </w:rPr>
    </w:lvl>
  </w:abstractNum>
  <w:abstractNum w:abstractNumId="6">
    <w:nsid w:val="07ADF528"/>
    <w:multiLevelType w:val="singleLevel"/>
    <w:tmpl w:val="CBDEBB54"/>
    <w:lvl w:ilvl="0">
      <w:start w:val="1"/>
      <w:numFmt w:val="decimal"/>
      <w:lvlText w:val="(%1)"/>
      <w:lvlJc w:val="left"/>
      <w:pPr>
        <w:tabs>
          <w:tab w:val="num" w:pos="288"/>
        </w:tabs>
        <w:ind w:left="0"/>
      </w:pPr>
      <w:rPr>
        <w:snapToGrid/>
        <w:spacing w:val="4"/>
        <w:sz w:val="24"/>
        <w:szCs w:val="24"/>
        <w:u w:val="single"/>
      </w:rPr>
    </w:lvl>
  </w:abstractNum>
  <w:abstractNum w:abstractNumId="7">
    <w:nsid w:val="0AAB6FD2"/>
    <w:multiLevelType w:val="hybridMultilevel"/>
    <w:tmpl w:val="31D63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E12A09"/>
    <w:multiLevelType w:val="hybridMultilevel"/>
    <w:tmpl w:val="8A8EF31C"/>
    <w:lvl w:ilvl="0" w:tplc="32E4CC1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DD5C9E"/>
    <w:multiLevelType w:val="hybridMultilevel"/>
    <w:tmpl w:val="2C783B28"/>
    <w:lvl w:ilvl="0" w:tplc="0186F366">
      <w:start w:val="1"/>
      <w:numFmt w:val="upperLetter"/>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02F98"/>
    <w:multiLevelType w:val="hybridMultilevel"/>
    <w:tmpl w:val="01EE54C0"/>
    <w:lvl w:ilvl="0" w:tplc="5CDA74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9522E7"/>
    <w:multiLevelType w:val="hybridMultilevel"/>
    <w:tmpl w:val="D570A20E"/>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981009"/>
    <w:multiLevelType w:val="hybridMultilevel"/>
    <w:tmpl w:val="EE2A5F56"/>
    <w:lvl w:ilvl="0" w:tplc="C90A0E0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7766EA"/>
    <w:multiLevelType w:val="hybridMultilevel"/>
    <w:tmpl w:val="5734C7D4"/>
    <w:lvl w:ilvl="0" w:tplc="898EB0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417E5A"/>
    <w:multiLevelType w:val="hybridMultilevel"/>
    <w:tmpl w:val="4D10B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463FE"/>
    <w:multiLevelType w:val="hybridMultilevel"/>
    <w:tmpl w:val="B3926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10417C"/>
    <w:multiLevelType w:val="hybridMultilevel"/>
    <w:tmpl w:val="B9848DB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451D65"/>
    <w:multiLevelType w:val="hybridMultilevel"/>
    <w:tmpl w:val="C112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97CDD"/>
    <w:multiLevelType w:val="singleLevel"/>
    <w:tmpl w:val="71CB0689"/>
    <w:lvl w:ilvl="0">
      <w:start w:val="1"/>
      <w:numFmt w:val="lowerLetter"/>
      <w:lvlText w:val="(%1)"/>
      <w:lvlJc w:val="left"/>
      <w:pPr>
        <w:tabs>
          <w:tab w:val="num" w:pos="288"/>
        </w:tabs>
        <w:ind w:firstLine="72"/>
      </w:pPr>
      <w:rPr>
        <w:snapToGrid/>
        <w:spacing w:val="1"/>
        <w:sz w:val="22"/>
        <w:szCs w:val="22"/>
      </w:rPr>
    </w:lvl>
  </w:abstractNum>
  <w:abstractNum w:abstractNumId="19">
    <w:nsid w:val="48B05CBB"/>
    <w:multiLevelType w:val="hybridMultilevel"/>
    <w:tmpl w:val="1E68D3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854B2"/>
    <w:multiLevelType w:val="hybridMultilevel"/>
    <w:tmpl w:val="E14EF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D83FB4"/>
    <w:multiLevelType w:val="hybridMultilevel"/>
    <w:tmpl w:val="E6387584"/>
    <w:lvl w:ilvl="0" w:tplc="BF7A40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A007782"/>
    <w:multiLevelType w:val="hybridMultilevel"/>
    <w:tmpl w:val="82D47688"/>
    <w:lvl w:ilvl="0" w:tplc="6D2C9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4F1DE7"/>
    <w:multiLevelType w:val="hybridMultilevel"/>
    <w:tmpl w:val="CADA9552"/>
    <w:lvl w:ilvl="0" w:tplc="9642DC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8E7E09"/>
    <w:multiLevelType w:val="hybridMultilevel"/>
    <w:tmpl w:val="63CE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9D2F19"/>
    <w:multiLevelType w:val="hybridMultilevel"/>
    <w:tmpl w:val="C1D6BF52"/>
    <w:lvl w:ilvl="0" w:tplc="616856C0">
      <w:start w:val="1"/>
      <w:numFmt w:val="upperRoman"/>
      <w:lvlText w:val="%1."/>
      <w:lvlJc w:val="left"/>
      <w:pPr>
        <w:ind w:left="2430" w:hanging="72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77A66D2C"/>
    <w:multiLevelType w:val="hybridMultilevel"/>
    <w:tmpl w:val="489E33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6"/>
    <w:lvlOverride w:ilvl="0">
      <w:lvl w:ilvl="0">
        <w:numFmt w:val="decimal"/>
        <w:lvlText w:val="(%1)"/>
        <w:lvlJc w:val="left"/>
        <w:pPr>
          <w:tabs>
            <w:tab w:val="num" w:pos="288"/>
          </w:tabs>
          <w:ind w:left="144"/>
        </w:pPr>
        <w:rPr>
          <w:snapToGrid/>
          <w:spacing w:val="4"/>
          <w:sz w:val="22"/>
          <w:szCs w:val="22"/>
          <w:u w:val="single"/>
        </w:rPr>
      </w:lvl>
    </w:lvlOverride>
  </w:num>
  <w:num w:numId="3">
    <w:abstractNumId w:val="3"/>
  </w:num>
  <w:num w:numId="4">
    <w:abstractNumId w:val="3"/>
    <w:lvlOverride w:ilvl="0">
      <w:lvl w:ilvl="0">
        <w:numFmt w:val="decimal"/>
        <w:lvlText w:val="(%1)"/>
        <w:lvlJc w:val="left"/>
        <w:pPr>
          <w:tabs>
            <w:tab w:val="num" w:pos="360"/>
          </w:tabs>
          <w:ind w:left="72"/>
        </w:pPr>
        <w:rPr>
          <w:rFonts w:ascii="Garamond" w:hAnsi="Garamond" w:cs="Garamond"/>
          <w:snapToGrid/>
          <w:sz w:val="24"/>
          <w:szCs w:val="24"/>
          <w:u w:val="single"/>
        </w:rPr>
      </w:lvl>
    </w:lvlOverride>
  </w:num>
  <w:num w:numId="5">
    <w:abstractNumId w:val="5"/>
  </w:num>
  <w:num w:numId="6">
    <w:abstractNumId w:val="5"/>
    <w:lvlOverride w:ilvl="0">
      <w:lvl w:ilvl="0">
        <w:numFmt w:val="lowerLetter"/>
        <w:lvlText w:val="(%1)"/>
        <w:lvlJc w:val="left"/>
        <w:pPr>
          <w:tabs>
            <w:tab w:val="num" w:pos="360"/>
          </w:tabs>
          <w:ind w:firstLine="72"/>
        </w:pPr>
        <w:rPr>
          <w:rFonts w:ascii="Bookman Old Style" w:hAnsi="Bookman Old Style" w:cs="Bookman Old Style"/>
          <w:snapToGrid/>
          <w:spacing w:val="-3"/>
          <w:sz w:val="21"/>
          <w:szCs w:val="21"/>
        </w:rPr>
      </w:lvl>
    </w:lvlOverride>
  </w:num>
  <w:num w:numId="7">
    <w:abstractNumId w:val="4"/>
  </w:num>
  <w:num w:numId="8">
    <w:abstractNumId w:val="4"/>
    <w:lvlOverride w:ilvl="0">
      <w:lvl w:ilvl="0">
        <w:numFmt w:val="decimal"/>
        <w:lvlText w:val="(%1)"/>
        <w:lvlJc w:val="left"/>
        <w:pPr>
          <w:tabs>
            <w:tab w:val="num" w:pos="450"/>
          </w:tabs>
          <w:ind w:left="90"/>
        </w:pPr>
        <w:rPr>
          <w:snapToGrid/>
          <w:spacing w:val="13"/>
          <w:sz w:val="22"/>
          <w:szCs w:val="22"/>
        </w:rPr>
      </w:lvl>
    </w:lvlOverride>
  </w:num>
  <w:num w:numId="9">
    <w:abstractNumId w:val="4"/>
    <w:lvlOverride w:ilvl="0">
      <w:lvl w:ilvl="0">
        <w:numFmt w:val="decimal"/>
        <w:lvlText w:val="(%1)"/>
        <w:lvlJc w:val="left"/>
        <w:pPr>
          <w:tabs>
            <w:tab w:val="num" w:pos="504"/>
          </w:tabs>
          <w:ind w:left="72" w:firstLine="72"/>
        </w:pPr>
        <w:rPr>
          <w:rFonts w:ascii="Garamond" w:hAnsi="Garamond" w:cs="Garamond"/>
          <w:snapToGrid/>
          <w:spacing w:val="6"/>
          <w:sz w:val="24"/>
          <w:szCs w:val="24"/>
          <w:u w:val="single"/>
        </w:rPr>
      </w:lvl>
    </w:lvlOverride>
  </w:num>
  <w:num w:numId="10">
    <w:abstractNumId w:val="0"/>
  </w:num>
  <w:num w:numId="11">
    <w:abstractNumId w:val="11"/>
  </w:num>
  <w:num w:numId="12">
    <w:abstractNumId w:val="26"/>
  </w:num>
  <w:num w:numId="13">
    <w:abstractNumId w:val="12"/>
  </w:num>
  <w:num w:numId="14">
    <w:abstractNumId w:val="2"/>
  </w:num>
  <w:num w:numId="15">
    <w:abstractNumId w:val="17"/>
  </w:num>
  <w:num w:numId="16">
    <w:abstractNumId w:val="21"/>
  </w:num>
  <w:num w:numId="17">
    <w:abstractNumId w:val="7"/>
  </w:num>
  <w:num w:numId="18">
    <w:abstractNumId w:val="8"/>
  </w:num>
  <w:num w:numId="19">
    <w:abstractNumId w:val="15"/>
  </w:num>
  <w:num w:numId="20">
    <w:abstractNumId w:val="20"/>
  </w:num>
  <w:num w:numId="21">
    <w:abstractNumId w:val="9"/>
  </w:num>
  <w:num w:numId="22">
    <w:abstractNumId w:val="25"/>
  </w:num>
  <w:num w:numId="23">
    <w:abstractNumId w:val="16"/>
  </w:num>
  <w:num w:numId="24">
    <w:abstractNumId w:val="24"/>
  </w:num>
  <w:num w:numId="25">
    <w:abstractNumId w:val="23"/>
  </w:num>
  <w:num w:numId="26">
    <w:abstractNumId w:val="22"/>
  </w:num>
  <w:num w:numId="27">
    <w:abstractNumId w:val="13"/>
  </w:num>
  <w:num w:numId="28">
    <w:abstractNumId w:val="10"/>
  </w:num>
  <w:num w:numId="29">
    <w:abstractNumId w:val="1"/>
  </w:num>
  <w:num w:numId="30">
    <w:abstractNumId w:val="19"/>
  </w:num>
  <w:num w:numId="31">
    <w:abstractNumId w:val="18"/>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B7869"/>
    <w:rsid w:val="000017F3"/>
    <w:rsid w:val="00052ACC"/>
    <w:rsid w:val="00054B2A"/>
    <w:rsid w:val="00056A4E"/>
    <w:rsid w:val="000621BB"/>
    <w:rsid w:val="0006621D"/>
    <w:rsid w:val="0006721D"/>
    <w:rsid w:val="00067EE7"/>
    <w:rsid w:val="00087232"/>
    <w:rsid w:val="00093DFC"/>
    <w:rsid w:val="000A512C"/>
    <w:rsid w:val="000C00C2"/>
    <w:rsid w:val="00101643"/>
    <w:rsid w:val="00133F9F"/>
    <w:rsid w:val="00150425"/>
    <w:rsid w:val="00154836"/>
    <w:rsid w:val="001800BC"/>
    <w:rsid w:val="001845EC"/>
    <w:rsid w:val="00186BBB"/>
    <w:rsid w:val="001C14A7"/>
    <w:rsid w:val="001D2FB0"/>
    <w:rsid w:val="00215EE1"/>
    <w:rsid w:val="00216B6F"/>
    <w:rsid w:val="00216C95"/>
    <w:rsid w:val="00224633"/>
    <w:rsid w:val="002651C6"/>
    <w:rsid w:val="002A2886"/>
    <w:rsid w:val="002A5DA4"/>
    <w:rsid w:val="002A64A8"/>
    <w:rsid w:val="002B3696"/>
    <w:rsid w:val="002C4301"/>
    <w:rsid w:val="002E4CB4"/>
    <w:rsid w:val="003101DA"/>
    <w:rsid w:val="00315285"/>
    <w:rsid w:val="0038665F"/>
    <w:rsid w:val="003A21F9"/>
    <w:rsid w:val="003B564D"/>
    <w:rsid w:val="003F3A9D"/>
    <w:rsid w:val="004A76EE"/>
    <w:rsid w:val="004D4783"/>
    <w:rsid w:val="004E18B6"/>
    <w:rsid w:val="00521127"/>
    <w:rsid w:val="0052212A"/>
    <w:rsid w:val="00532E10"/>
    <w:rsid w:val="00545752"/>
    <w:rsid w:val="00567142"/>
    <w:rsid w:val="005F70DD"/>
    <w:rsid w:val="00616E4F"/>
    <w:rsid w:val="006A1B8E"/>
    <w:rsid w:val="006A6E3F"/>
    <w:rsid w:val="006B2FD3"/>
    <w:rsid w:val="006C5B17"/>
    <w:rsid w:val="006D4A4B"/>
    <w:rsid w:val="006E230F"/>
    <w:rsid w:val="006E42DE"/>
    <w:rsid w:val="00702371"/>
    <w:rsid w:val="00702863"/>
    <w:rsid w:val="00712733"/>
    <w:rsid w:val="00724191"/>
    <w:rsid w:val="007266C4"/>
    <w:rsid w:val="00726871"/>
    <w:rsid w:val="00781970"/>
    <w:rsid w:val="00785628"/>
    <w:rsid w:val="007931EC"/>
    <w:rsid w:val="007C55D3"/>
    <w:rsid w:val="007D2987"/>
    <w:rsid w:val="0081476C"/>
    <w:rsid w:val="00816EC1"/>
    <w:rsid w:val="0085457A"/>
    <w:rsid w:val="00857FD4"/>
    <w:rsid w:val="00863030"/>
    <w:rsid w:val="00875514"/>
    <w:rsid w:val="008B7F02"/>
    <w:rsid w:val="008C7653"/>
    <w:rsid w:val="008E3C3A"/>
    <w:rsid w:val="00913BF8"/>
    <w:rsid w:val="00920197"/>
    <w:rsid w:val="009248AE"/>
    <w:rsid w:val="009270DB"/>
    <w:rsid w:val="009417E4"/>
    <w:rsid w:val="00955D9E"/>
    <w:rsid w:val="00965944"/>
    <w:rsid w:val="0097561A"/>
    <w:rsid w:val="009A13C1"/>
    <w:rsid w:val="009B5D92"/>
    <w:rsid w:val="009D0009"/>
    <w:rsid w:val="009D1F86"/>
    <w:rsid w:val="009E43F9"/>
    <w:rsid w:val="009F307B"/>
    <w:rsid w:val="00A00EE0"/>
    <w:rsid w:val="00A07503"/>
    <w:rsid w:val="00A16C7B"/>
    <w:rsid w:val="00A26C18"/>
    <w:rsid w:val="00A44CF3"/>
    <w:rsid w:val="00A63904"/>
    <w:rsid w:val="00A7420B"/>
    <w:rsid w:val="00AA0AC3"/>
    <w:rsid w:val="00AB7869"/>
    <w:rsid w:val="00AE74D5"/>
    <w:rsid w:val="00AF673A"/>
    <w:rsid w:val="00B25543"/>
    <w:rsid w:val="00B2713E"/>
    <w:rsid w:val="00B52F9B"/>
    <w:rsid w:val="00B93E53"/>
    <w:rsid w:val="00BC64A9"/>
    <w:rsid w:val="00BE4237"/>
    <w:rsid w:val="00C015E5"/>
    <w:rsid w:val="00C52945"/>
    <w:rsid w:val="00C567A5"/>
    <w:rsid w:val="00C57092"/>
    <w:rsid w:val="00C77E4F"/>
    <w:rsid w:val="00CB155A"/>
    <w:rsid w:val="00CB2D23"/>
    <w:rsid w:val="00CB646B"/>
    <w:rsid w:val="00CD0377"/>
    <w:rsid w:val="00CF2FCA"/>
    <w:rsid w:val="00D0177B"/>
    <w:rsid w:val="00D13A10"/>
    <w:rsid w:val="00D3491E"/>
    <w:rsid w:val="00D53786"/>
    <w:rsid w:val="00D85AC0"/>
    <w:rsid w:val="00DC015D"/>
    <w:rsid w:val="00DC573A"/>
    <w:rsid w:val="00E07E61"/>
    <w:rsid w:val="00E14080"/>
    <w:rsid w:val="00E202F3"/>
    <w:rsid w:val="00E31A68"/>
    <w:rsid w:val="00E62C49"/>
    <w:rsid w:val="00E667F4"/>
    <w:rsid w:val="00E723F6"/>
    <w:rsid w:val="00ED656D"/>
    <w:rsid w:val="00F12079"/>
    <w:rsid w:val="00F32239"/>
    <w:rsid w:val="00F36898"/>
    <w:rsid w:val="00F40E1D"/>
    <w:rsid w:val="00F5215E"/>
    <w:rsid w:val="00F67979"/>
    <w:rsid w:val="00F932A3"/>
    <w:rsid w:val="00FA09A3"/>
    <w:rsid w:val="00FC2E37"/>
    <w:rsid w:val="00FC6545"/>
    <w:rsid w:val="00FE2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69"/>
    <w:pPr>
      <w:widowControl w:val="0"/>
      <w:kinsoku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DB"/>
    <w:pPr>
      <w:ind w:left="720"/>
      <w:contextualSpacing/>
    </w:pPr>
  </w:style>
  <w:style w:type="paragraph" w:styleId="BalloonText">
    <w:name w:val="Balloon Text"/>
    <w:basedOn w:val="Normal"/>
    <w:link w:val="BalloonTextChar"/>
    <w:uiPriority w:val="99"/>
    <w:semiHidden/>
    <w:unhideWhenUsed/>
    <w:rsid w:val="009D0009"/>
    <w:rPr>
      <w:rFonts w:ascii="Tahoma" w:hAnsi="Tahoma" w:cs="Tahoma"/>
      <w:sz w:val="16"/>
      <w:szCs w:val="16"/>
    </w:rPr>
  </w:style>
  <w:style w:type="character" w:customStyle="1" w:styleId="BalloonTextChar">
    <w:name w:val="Balloon Text Char"/>
    <w:basedOn w:val="DefaultParagraphFont"/>
    <w:link w:val="BalloonText"/>
    <w:uiPriority w:val="99"/>
    <w:semiHidden/>
    <w:rsid w:val="009D0009"/>
    <w:rPr>
      <w:rFonts w:ascii="Tahoma" w:eastAsiaTheme="minorEastAsia" w:hAnsi="Tahoma" w:cs="Tahoma"/>
      <w:sz w:val="16"/>
      <w:szCs w:val="16"/>
    </w:rPr>
  </w:style>
  <w:style w:type="paragraph" w:styleId="NoSpacing">
    <w:name w:val="No Spacing"/>
    <w:uiPriority w:val="1"/>
    <w:qFormat/>
    <w:rsid w:val="001D2FB0"/>
    <w:rPr>
      <w:rFonts w:ascii="Comic Sans MS" w:hAnsi="Comic Sans MS"/>
    </w:rPr>
  </w:style>
  <w:style w:type="table" w:styleId="TableGrid">
    <w:name w:val="Table Grid"/>
    <w:basedOn w:val="TableNormal"/>
    <w:uiPriority w:val="59"/>
    <w:rsid w:val="001D2FB0"/>
    <w:rPr>
      <w:rFonts w:ascii="Comic Sans MS" w:hAnsi="Comic Sans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15EE1"/>
    <w:pPr>
      <w:widowControl/>
      <w:kinsoku/>
      <w:spacing w:after="200" w:line="276" w:lineRule="auto"/>
    </w:pPr>
    <w:rPr>
      <w:rFonts w:eastAsia="Calibri"/>
      <w:sz w:val="20"/>
      <w:szCs w:val="20"/>
    </w:rPr>
  </w:style>
  <w:style w:type="character" w:customStyle="1" w:styleId="CommentTextChar">
    <w:name w:val="Comment Text Char"/>
    <w:basedOn w:val="DefaultParagraphFont"/>
    <w:link w:val="CommentText"/>
    <w:uiPriority w:val="99"/>
    <w:semiHidden/>
    <w:rsid w:val="00215EE1"/>
    <w:rPr>
      <w:rFonts w:ascii="Times New Roman" w:eastAsia="Calibri" w:hAnsi="Times New Roman" w:cs="Times New Roman"/>
      <w:sz w:val="20"/>
      <w:szCs w:val="20"/>
    </w:rPr>
  </w:style>
  <w:style w:type="paragraph" w:styleId="BodyText">
    <w:name w:val="Body Text"/>
    <w:basedOn w:val="Normal"/>
    <w:link w:val="BodyTextChar"/>
    <w:uiPriority w:val="1"/>
    <w:qFormat/>
    <w:rsid w:val="00E62C49"/>
    <w:pPr>
      <w:kinsoku/>
    </w:pPr>
    <w:rPr>
      <w:rFonts w:ascii="Arial" w:eastAsia="Arial" w:hAnsi="Arial" w:cs="Arial"/>
      <w:sz w:val="21"/>
      <w:szCs w:val="21"/>
    </w:rPr>
  </w:style>
  <w:style w:type="character" w:customStyle="1" w:styleId="BodyTextChar">
    <w:name w:val="Body Text Char"/>
    <w:basedOn w:val="DefaultParagraphFont"/>
    <w:link w:val="BodyText"/>
    <w:uiPriority w:val="1"/>
    <w:rsid w:val="00E62C49"/>
    <w:rPr>
      <w:rFonts w:ascii="Arial" w:eastAsia="Arial" w:hAnsi="Arial" w:cs="Arial"/>
      <w:sz w:val="21"/>
      <w:szCs w:val="21"/>
    </w:rPr>
  </w:style>
  <w:style w:type="paragraph" w:customStyle="1" w:styleId="TableParagraph">
    <w:name w:val="Table Paragraph"/>
    <w:basedOn w:val="Normal"/>
    <w:uiPriority w:val="1"/>
    <w:qFormat/>
    <w:rsid w:val="00E62C49"/>
    <w:pPr>
      <w:kinsoku/>
      <w:ind w:left="201"/>
    </w:pPr>
    <w:rPr>
      <w:rFonts w:ascii="Arial" w:eastAsia="Arial" w:hAnsi="Arial" w:cs="Arial"/>
      <w:sz w:val="22"/>
      <w:szCs w:val="22"/>
    </w:rPr>
  </w:style>
  <w:style w:type="paragraph" w:styleId="NormalWeb">
    <w:name w:val="Normal (Web)"/>
    <w:basedOn w:val="Normal"/>
    <w:uiPriority w:val="99"/>
    <w:semiHidden/>
    <w:unhideWhenUsed/>
    <w:rsid w:val="00067EE7"/>
    <w:pPr>
      <w:widowControl/>
      <w:kinsoku/>
      <w:spacing w:before="100" w:beforeAutospacing="1" w:after="100" w:afterAutospacing="1"/>
    </w:pPr>
    <w:rPr>
      <w:rFonts w:eastAsia="Times New Roman"/>
    </w:rPr>
  </w:style>
  <w:style w:type="character" w:customStyle="1" w:styleId="scayt-misspell-word">
    <w:name w:val="scayt-misspell-word"/>
    <w:basedOn w:val="DefaultParagraphFont"/>
    <w:rsid w:val="00067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69"/>
    <w:pPr>
      <w:widowControl w:val="0"/>
      <w:kinsoku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08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44DAE-28BB-4827-820D-E6FE8F22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Travis Hoover</dc:creator>
  <cp:lastModifiedBy>thoover</cp:lastModifiedBy>
  <cp:revision>4</cp:revision>
  <cp:lastPrinted>2012-07-09T12:46:00Z</cp:lastPrinted>
  <dcterms:created xsi:type="dcterms:W3CDTF">2016-06-14T21:32:00Z</dcterms:created>
  <dcterms:modified xsi:type="dcterms:W3CDTF">2016-08-09T16:06:00Z</dcterms:modified>
</cp:coreProperties>
</file>